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581"/>
        <w:tblW w:w="7995" w:type="dxa"/>
        <w:tblLayout w:type="fixed"/>
        <w:tblCellMar>
          <w:left w:w="0" w:type="dxa"/>
          <w:right w:w="0" w:type="dxa"/>
        </w:tblCellMar>
        <w:tblLook w:val="0000" w:firstRow="0" w:lastRow="0" w:firstColumn="0" w:lastColumn="0" w:noHBand="0" w:noVBand="0"/>
      </w:tblPr>
      <w:tblGrid>
        <w:gridCol w:w="7995"/>
      </w:tblGrid>
      <w:tr w:rsidR="0054183E" w:rsidRPr="00853D78" w14:paraId="3C1F9E24" w14:textId="77777777" w:rsidTr="5BBF89A0">
        <w:trPr>
          <w:trHeight w:val="400"/>
        </w:trPr>
        <w:tc>
          <w:tcPr>
            <w:tcW w:w="7995" w:type="dxa"/>
          </w:tcPr>
          <w:p w14:paraId="1F066542" w14:textId="77777777" w:rsidR="00956401" w:rsidRPr="00956401" w:rsidRDefault="0054183E" w:rsidP="00DA563E">
            <w:pPr>
              <w:pStyle w:val="Heading2Bold"/>
              <w:rPr>
                <w:rFonts w:ascii="Arial" w:hAnsi="Arial" w:cs="Arial"/>
                <w:szCs w:val="32"/>
              </w:rPr>
            </w:pPr>
            <w:r w:rsidRPr="00956401">
              <w:rPr>
                <w:rFonts w:ascii="Arial" w:hAnsi="Arial" w:cs="Arial"/>
                <w:szCs w:val="32"/>
              </w:rPr>
              <w:t>L</w:t>
            </w:r>
            <w:r w:rsidR="000C22A6" w:rsidRPr="00956401">
              <w:rPr>
                <w:rFonts w:ascii="Arial" w:hAnsi="Arial" w:cs="Arial"/>
                <w:szCs w:val="32"/>
              </w:rPr>
              <w:t xml:space="preserve">ocal </w:t>
            </w:r>
            <w:r w:rsidRPr="00956401">
              <w:rPr>
                <w:rFonts w:ascii="Arial" w:hAnsi="Arial" w:cs="Arial"/>
                <w:szCs w:val="32"/>
              </w:rPr>
              <w:t>G</w:t>
            </w:r>
            <w:r w:rsidR="000C22A6" w:rsidRPr="00956401">
              <w:rPr>
                <w:rFonts w:ascii="Arial" w:hAnsi="Arial" w:cs="Arial"/>
                <w:szCs w:val="32"/>
              </w:rPr>
              <w:t xml:space="preserve">overnment </w:t>
            </w:r>
            <w:r w:rsidRPr="00956401">
              <w:rPr>
                <w:rFonts w:ascii="Arial" w:hAnsi="Arial" w:cs="Arial"/>
                <w:szCs w:val="32"/>
              </w:rPr>
              <w:t>A</w:t>
            </w:r>
            <w:r w:rsidR="000C22A6" w:rsidRPr="00956401">
              <w:rPr>
                <w:rFonts w:ascii="Arial" w:hAnsi="Arial" w:cs="Arial"/>
                <w:szCs w:val="32"/>
              </w:rPr>
              <w:t>ssociation</w:t>
            </w:r>
            <w:r w:rsidRPr="00956401">
              <w:rPr>
                <w:rFonts w:ascii="Arial" w:hAnsi="Arial" w:cs="Arial"/>
                <w:szCs w:val="32"/>
              </w:rPr>
              <w:t xml:space="preserve"> </w:t>
            </w:r>
          </w:p>
          <w:p w14:paraId="5367471A" w14:textId="39E43048" w:rsidR="0054183E" w:rsidRPr="00956401" w:rsidRDefault="0022702C" w:rsidP="00F62F1D">
            <w:pPr>
              <w:pStyle w:val="Heading2Bold"/>
              <w:rPr>
                <w:rFonts w:ascii="Arial" w:hAnsi="Arial" w:cs="Arial"/>
                <w:szCs w:val="32"/>
              </w:rPr>
            </w:pPr>
            <w:r>
              <w:rPr>
                <w:rFonts w:ascii="Arial" w:hAnsi="Arial" w:cs="Arial"/>
                <w:szCs w:val="32"/>
              </w:rPr>
              <w:t>Autumn Statement</w:t>
            </w:r>
            <w:r w:rsidR="00956401" w:rsidRPr="00956401">
              <w:rPr>
                <w:rFonts w:ascii="Arial" w:hAnsi="Arial" w:cs="Arial"/>
                <w:szCs w:val="32"/>
              </w:rPr>
              <w:t xml:space="preserve"> - </w:t>
            </w:r>
            <w:r w:rsidR="00F62F1D">
              <w:rPr>
                <w:rFonts w:ascii="Arial" w:hAnsi="Arial" w:cs="Arial"/>
                <w:szCs w:val="32"/>
              </w:rPr>
              <w:t>On the D</w:t>
            </w:r>
            <w:r w:rsidR="0054183E" w:rsidRPr="00956401">
              <w:rPr>
                <w:rFonts w:ascii="Arial" w:hAnsi="Arial" w:cs="Arial"/>
                <w:szCs w:val="32"/>
              </w:rPr>
              <w:t xml:space="preserve">ay </w:t>
            </w:r>
            <w:r w:rsidR="00F62F1D">
              <w:rPr>
                <w:rFonts w:ascii="Arial" w:hAnsi="Arial" w:cs="Arial"/>
                <w:szCs w:val="32"/>
              </w:rPr>
              <w:t>B</w:t>
            </w:r>
            <w:r w:rsidR="0054183E" w:rsidRPr="00956401">
              <w:rPr>
                <w:rFonts w:ascii="Arial" w:hAnsi="Arial" w:cs="Arial"/>
                <w:szCs w:val="32"/>
              </w:rPr>
              <w:t>riefing</w:t>
            </w:r>
          </w:p>
        </w:tc>
      </w:tr>
      <w:tr w:rsidR="0054183E" w:rsidRPr="00853D78" w14:paraId="140AA238" w14:textId="77777777" w:rsidTr="5BBF89A0">
        <w:trPr>
          <w:trHeight w:hRule="exact" w:val="400"/>
        </w:trPr>
        <w:tc>
          <w:tcPr>
            <w:tcW w:w="7995" w:type="dxa"/>
          </w:tcPr>
          <w:p w14:paraId="67CF1A80" w14:textId="77777777" w:rsidR="0054183E" w:rsidRDefault="5BBF89A0" w:rsidP="5BBF89A0">
            <w:pPr>
              <w:pStyle w:val="Heading2"/>
              <w:rPr>
                <w:rFonts w:ascii="Arial" w:eastAsia="Arial" w:hAnsi="Arial" w:cs="Arial"/>
              </w:rPr>
            </w:pPr>
            <w:r w:rsidRPr="5BBF89A0">
              <w:rPr>
                <w:rFonts w:ascii="Arial" w:eastAsia="Arial" w:hAnsi="Arial" w:cs="Arial"/>
              </w:rPr>
              <w:t>23 November 2016</w:t>
            </w:r>
          </w:p>
          <w:p w14:paraId="74C9A2F7" w14:textId="77777777" w:rsidR="00B04603" w:rsidRPr="00B04603" w:rsidRDefault="00B04603" w:rsidP="00B04603"/>
          <w:p w14:paraId="0F389AC9" w14:textId="77777777" w:rsidR="00B04603" w:rsidRDefault="00B04603" w:rsidP="00B04603"/>
          <w:p w14:paraId="219925E9" w14:textId="77777777" w:rsidR="00B04603" w:rsidRDefault="00B04603" w:rsidP="00B04603"/>
          <w:p w14:paraId="1AA2DB74" w14:textId="77777777" w:rsidR="00B04603" w:rsidRDefault="00B04603" w:rsidP="00B04603"/>
          <w:p w14:paraId="2402A1EC" w14:textId="0B501784" w:rsidR="00B04603" w:rsidRPr="00B04603" w:rsidRDefault="00B04603" w:rsidP="00B04603"/>
        </w:tc>
        <w:bookmarkStart w:id="0" w:name="bmDocumentDate"/>
        <w:bookmarkEnd w:id="0"/>
      </w:tr>
    </w:tbl>
    <w:p w14:paraId="76FDFCC2" w14:textId="77777777" w:rsidR="00892F37" w:rsidRPr="00853D78" w:rsidRDefault="00892F37" w:rsidP="00214282">
      <w:pPr>
        <w:pStyle w:val="MainText"/>
        <w:numPr>
          <w:ilvl w:val="0"/>
          <w:numId w:val="2"/>
        </w:numPr>
        <w:spacing w:line="240" w:lineRule="auto"/>
        <w:jc w:val="both"/>
        <w:rPr>
          <w:rFonts w:ascii="Arial" w:hAnsi="Arial" w:cs="Arial"/>
          <w:sz w:val="24"/>
          <w:szCs w:val="24"/>
        </w:rPr>
        <w:sectPr w:rsidR="00892F37" w:rsidRPr="00853D78">
          <w:headerReference w:type="default" r:id="rId11"/>
          <w:footerReference w:type="default" r:id="rId12"/>
          <w:pgSz w:w="11906" w:h="16838"/>
          <w:pgMar w:top="2209" w:right="2495" w:bottom="851" w:left="1418" w:header="335" w:footer="573" w:gutter="0"/>
          <w:cols w:space="720"/>
        </w:sectPr>
      </w:pPr>
    </w:p>
    <w:p w14:paraId="08D68415" w14:textId="77777777" w:rsidR="0054183E" w:rsidRPr="0022702C" w:rsidRDefault="0054183E" w:rsidP="0054183E">
      <w:pPr>
        <w:spacing w:line="240" w:lineRule="auto"/>
        <w:rPr>
          <w:rFonts w:ascii="Arial" w:hAnsi="Arial" w:cs="Arial"/>
          <w:b/>
          <w:sz w:val="24"/>
          <w:szCs w:val="24"/>
        </w:rPr>
      </w:pPr>
    </w:p>
    <w:p w14:paraId="2895D8CC" w14:textId="77777777" w:rsidR="0054183E" w:rsidRPr="0022702C" w:rsidRDefault="5BBF89A0" w:rsidP="5BBF89A0">
      <w:pPr>
        <w:spacing w:line="240" w:lineRule="auto"/>
        <w:rPr>
          <w:rFonts w:ascii="Arial" w:eastAsia="Arial" w:hAnsi="Arial" w:cs="Arial"/>
          <w:b/>
          <w:bCs/>
          <w:sz w:val="28"/>
          <w:szCs w:val="28"/>
        </w:rPr>
      </w:pPr>
      <w:r w:rsidRPr="5BBF89A0">
        <w:rPr>
          <w:rFonts w:ascii="Arial" w:eastAsia="Arial" w:hAnsi="Arial" w:cs="Arial"/>
          <w:b/>
          <w:bCs/>
          <w:sz w:val="28"/>
          <w:szCs w:val="28"/>
        </w:rPr>
        <w:t>Introduction</w:t>
      </w:r>
      <w:bookmarkStart w:id="1" w:name="_GoBack"/>
      <w:bookmarkEnd w:id="1"/>
    </w:p>
    <w:p w14:paraId="17AAC24F" w14:textId="77777777" w:rsidR="0054183E" w:rsidRPr="0022702C" w:rsidRDefault="0054183E" w:rsidP="0054183E">
      <w:pPr>
        <w:spacing w:line="240" w:lineRule="auto"/>
        <w:jc w:val="both"/>
        <w:rPr>
          <w:rFonts w:ascii="Arial" w:hAnsi="Arial" w:cs="Arial"/>
          <w:sz w:val="24"/>
          <w:szCs w:val="24"/>
        </w:rPr>
      </w:pPr>
    </w:p>
    <w:p w14:paraId="4A7D2C14" w14:textId="47C2C163" w:rsidR="0022702C" w:rsidRPr="002642A3" w:rsidRDefault="5BBF89A0" w:rsidP="005374E4">
      <w:pPr>
        <w:pStyle w:val="Default"/>
        <w:jc w:val="both"/>
      </w:pPr>
      <w:r w:rsidRPr="5BBF89A0">
        <w:rPr>
          <w:sz w:val="22"/>
          <w:szCs w:val="22"/>
        </w:rPr>
        <w:t xml:space="preserve">The Autumn Statement provides a formal update on the state of the economy, responds to the new economic and fiscal forecast from the Office for Budget Responsibility and announces the Government’s measures to promote economic growth. </w:t>
      </w:r>
    </w:p>
    <w:p w14:paraId="6722494B" w14:textId="77777777" w:rsidR="0022702C" w:rsidRPr="0022702C" w:rsidRDefault="0022702C" w:rsidP="005374E4">
      <w:pPr>
        <w:pStyle w:val="Default"/>
        <w:jc w:val="both"/>
        <w:rPr>
          <w:sz w:val="22"/>
          <w:szCs w:val="22"/>
        </w:rPr>
      </w:pPr>
    </w:p>
    <w:p w14:paraId="5455707B" w14:textId="14B90419" w:rsidR="0054183E" w:rsidRDefault="5BBF89A0" w:rsidP="5BBF89A0">
      <w:pPr>
        <w:spacing w:line="240" w:lineRule="auto"/>
        <w:jc w:val="both"/>
        <w:rPr>
          <w:rStyle w:val="Hyperlink"/>
          <w:rFonts w:ascii="Arial" w:eastAsia="Arial" w:hAnsi="Arial" w:cs="Arial"/>
        </w:rPr>
      </w:pPr>
      <w:r w:rsidRPr="5BBF89A0">
        <w:rPr>
          <w:rFonts w:ascii="Arial" w:eastAsia="Arial" w:hAnsi="Arial" w:cs="Arial"/>
        </w:rPr>
        <w:t>The full set of documents is available on th</w:t>
      </w:r>
      <w:r w:rsidRPr="00671CA8">
        <w:rPr>
          <w:rFonts w:ascii="Arial" w:eastAsia="Arial" w:hAnsi="Arial" w:cs="Arial"/>
        </w:rPr>
        <w:t xml:space="preserve">e </w:t>
      </w:r>
      <w:hyperlink r:id="rId13" w:history="1">
        <w:r w:rsidRPr="00671CA8">
          <w:rPr>
            <w:rStyle w:val="Hyperlink"/>
            <w:rFonts w:ascii="Arial" w:eastAsia="Arial" w:hAnsi="Arial" w:cs="Arial"/>
          </w:rPr>
          <w:t>HM Treasury website.</w:t>
        </w:r>
      </w:hyperlink>
    </w:p>
    <w:p w14:paraId="5E15F822" w14:textId="591EC39B" w:rsidR="00182EA9" w:rsidRDefault="00182EA9" w:rsidP="5BBF89A0">
      <w:pPr>
        <w:spacing w:line="240" w:lineRule="auto"/>
        <w:jc w:val="both"/>
        <w:rPr>
          <w:rFonts w:ascii="Arial" w:eastAsia="Arial" w:hAnsi="Arial" w:cs="Arial"/>
        </w:rPr>
      </w:pPr>
    </w:p>
    <w:p w14:paraId="4C0F792F" w14:textId="3F89E02E" w:rsidR="00182EA9" w:rsidRDefault="00182EA9" w:rsidP="5BBF89A0">
      <w:pPr>
        <w:spacing w:line="240" w:lineRule="auto"/>
        <w:jc w:val="both"/>
        <w:rPr>
          <w:rFonts w:ascii="Arial" w:eastAsia="Arial" w:hAnsi="Arial" w:cs="Arial"/>
        </w:rPr>
      </w:pPr>
      <w:r>
        <w:rPr>
          <w:rFonts w:ascii="Arial" w:eastAsia="Arial" w:hAnsi="Arial" w:cs="Arial"/>
        </w:rPr>
        <w:t xml:space="preserve">The LGA has also circulated a number of </w:t>
      </w:r>
      <w:r w:rsidRPr="00182EA9">
        <w:rPr>
          <w:rFonts w:ascii="Arial" w:eastAsia="Arial" w:hAnsi="Arial" w:cs="Arial"/>
        </w:rPr>
        <w:t>media statements</w:t>
      </w:r>
      <w:r>
        <w:rPr>
          <w:rFonts w:ascii="Arial" w:eastAsia="Arial" w:hAnsi="Arial" w:cs="Arial"/>
        </w:rPr>
        <w:t xml:space="preserve"> responding to today’s announcement:</w:t>
      </w:r>
    </w:p>
    <w:p w14:paraId="1917C268" w14:textId="77777777" w:rsidR="00182EA9" w:rsidRDefault="00182EA9" w:rsidP="5BBF89A0">
      <w:pPr>
        <w:spacing w:line="240" w:lineRule="auto"/>
        <w:jc w:val="both"/>
        <w:rPr>
          <w:rFonts w:ascii="Arial" w:eastAsia="Arial" w:hAnsi="Arial" w:cs="Arial"/>
        </w:rPr>
      </w:pPr>
    </w:p>
    <w:p w14:paraId="59DA7FD1" w14:textId="4E45CC5B" w:rsidR="00182EA9" w:rsidRDefault="00D03943" w:rsidP="5BBF89A0">
      <w:pPr>
        <w:spacing w:line="240" w:lineRule="auto"/>
        <w:jc w:val="both"/>
        <w:rPr>
          <w:rFonts w:ascii="Arial" w:eastAsia="Arial" w:hAnsi="Arial" w:cs="Arial"/>
        </w:rPr>
      </w:pPr>
      <w:hyperlink r:id="rId14" w:history="1">
        <w:r w:rsidR="00182EA9" w:rsidRPr="00182EA9">
          <w:rPr>
            <w:rStyle w:val="Hyperlink"/>
            <w:rFonts w:ascii="Arial" w:eastAsia="Arial" w:hAnsi="Arial" w:cs="Arial"/>
          </w:rPr>
          <w:t>LGA overall media statement</w:t>
        </w:r>
      </w:hyperlink>
    </w:p>
    <w:p w14:paraId="57D67047" w14:textId="77777777" w:rsidR="00182EA9" w:rsidRDefault="00182EA9" w:rsidP="5BBF89A0">
      <w:pPr>
        <w:spacing w:line="240" w:lineRule="auto"/>
        <w:jc w:val="both"/>
        <w:rPr>
          <w:rFonts w:ascii="Arial" w:eastAsia="Arial" w:hAnsi="Arial" w:cs="Arial"/>
        </w:rPr>
      </w:pPr>
    </w:p>
    <w:p w14:paraId="589E30DA" w14:textId="106FA131" w:rsidR="00182EA9" w:rsidRDefault="00D03943" w:rsidP="5BBF89A0">
      <w:pPr>
        <w:spacing w:line="240" w:lineRule="auto"/>
        <w:jc w:val="both"/>
        <w:rPr>
          <w:rStyle w:val="Hyperlink"/>
          <w:rFonts w:ascii="Arial" w:eastAsia="Arial" w:hAnsi="Arial" w:cs="Arial"/>
        </w:rPr>
      </w:pPr>
      <w:hyperlink r:id="rId15" w:history="1">
        <w:r w:rsidR="00182EA9" w:rsidRPr="00182EA9">
          <w:rPr>
            <w:rStyle w:val="Hyperlink"/>
            <w:rFonts w:ascii="Arial" w:eastAsia="Arial" w:hAnsi="Arial" w:cs="Arial"/>
          </w:rPr>
          <w:t>LGA social care media statement</w:t>
        </w:r>
      </w:hyperlink>
    </w:p>
    <w:p w14:paraId="1CFB06FF" w14:textId="77777777" w:rsidR="009F3FEB" w:rsidRDefault="009F3FEB" w:rsidP="5BBF89A0">
      <w:pPr>
        <w:spacing w:line="240" w:lineRule="auto"/>
        <w:jc w:val="both"/>
        <w:rPr>
          <w:rStyle w:val="Hyperlink"/>
          <w:rFonts w:ascii="Arial" w:eastAsia="Arial" w:hAnsi="Arial" w:cs="Arial"/>
        </w:rPr>
      </w:pPr>
    </w:p>
    <w:p w14:paraId="1936A931" w14:textId="77777777" w:rsidR="009F3FEB" w:rsidRPr="00182EA9" w:rsidRDefault="00D03943" w:rsidP="009F3FEB">
      <w:pPr>
        <w:spacing w:line="240" w:lineRule="auto"/>
        <w:jc w:val="both"/>
        <w:rPr>
          <w:rFonts w:ascii="Arial" w:eastAsia="Arial" w:hAnsi="Arial" w:cs="Arial"/>
        </w:rPr>
      </w:pPr>
      <w:hyperlink r:id="rId16" w:history="1">
        <w:r w:rsidR="009F3FEB" w:rsidRPr="00182EA9">
          <w:rPr>
            <w:rStyle w:val="Hyperlink"/>
            <w:rFonts w:ascii="Arial" w:eastAsia="Arial" w:hAnsi="Arial" w:cs="Arial"/>
          </w:rPr>
          <w:t>LGA housing media statement</w:t>
        </w:r>
      </w:hyperlink>
    </w:p>
    <w:p w14:paraId="65368FE7" w14:textId="77777777" w:rsidR="00182EA9" w:rsidRDefault="00182EA9" w:rsidP="5BBF89A0">
      <w:pPr>
        <w:spacing w:line="240" w:lineRule="auto"/>
        <w:jc w:val="both"/>
        <w:rPr>
          <w:rFonts w:ascii="Arial" w:eastAsia="Arial" w:hAnsi="Arial" w:cs="Arial"/>
        </w:rPr>
      </w:pPr>
    </w:p>
    <w:p w14:paraId="315ABF83" w14:textId="1DA91D62" w:rsidR="00182EA9" w:rsidRDefault="00D03943" w:rsidP="5BBF89A0">
      <w:pPr>
        <w:spacing w:line="240" w:lineRule="auto"/>
        <w:jc w:val="both"/>
        <w:rPr>
          <w:rStyle w:val="Hyperlink"/>
          <w:rFonts w:ascii="Arial" w:eastAsia="Arial" w:hAnsi="Arial" w:cs="Arial"/>
        </w:rPr>
      </w:pPr>
      <w:hyperlink r:id="rId17" w:history="1">
        <w:r w:rsidR="00182EA9" w:rsidRPr="00182EA9">
          <w:rPr>
            <w:rStyle w:val="Hyperlink"/>
            <w:rFonts w:ascii="Arial" w:eastAsia="Arial" w:hAnsi="Arial" w:cs="Arial"/>
          </w:rPr>
          <w:t>LGA industrial strategy media statement</w:t>
        </w:r>
      </w:hyperlink>
    </w:p>
    <w:p w14:paraId="6549B8AF" w14:textId="77777777" w:rsidR="009F3FEB" w:rsidRDefault="009F3FEB" w:rsidP="009F3FEB">
      <w:pPr>
        <w:spacing w:line="240" w:lineRule="auto"/>
        <w:jc w:val="both"/>
        <w:rPr>
          <w:rFonts w:ascii="Arial" w:eastAsia="Arial" w:hAnsi="Arial" w:cs="Arial"/>
        </w:rPr>
      </w:pPr>
    </w:p>
    <w:p w14:paraId="583EF41B" w14:textId="77777777" w:rsidR="009F3FEB" w:rsidRDefault="00D03943" w:rsidP="009F3FEB">
      <w:pPr>
        <w:spacing w:line="240" w:lineRule="auto"/>
        <w:jc w:val="both"/>
        <w:rPr>
          <w:rFonts w:ascii="Arial" w:eastAsia="Arial" w:hAnsi="Arial" w:cs="Arial"/>
        </w:rPr>
      </w:pPr>
      <w:hyperlink r:id="rId18" w:history="1">
        <w:r w:rsidR="009F3FEB" w:rsidRPr="00182EA9">
          <w:rPr>
            <w:rStyle w:val="Hyperlink"/>
            <w:rFonts w:ascii="Arial" w:eastAsia="Arial" w:hAnsi="Arial" w:cs="Arial"/>
          </w:rPr>
          <w:t>LGA transport media statement</w:t>
        </w:r>
      </w:hyperlink>
    </w:p>
    <w:p w14:paraId="4EC98357" w14:textId="77777777" w:rsidR="00182EA9" w:rsidRDefault="00182EA9" w:rsidP="5BBF89A0">
      <w:pPr>
        <w:spacing w:line="240" w:lineRule="auto"/>
        <w:jc w:val="both"/>
        <w:rPr>
          <w:rFonts w:ascii="Arial" w:eastAsia="Arial" w:hAnsi="Arial" w:cs="Arial"/>
        </w:rPr>
      </w:pPr>
    </w:p>
    <w:p w14:paraId="6EF9F320" w14:textId="31F67129" w:rsidR="00182EA9" w:rsidRDefault="00D03943" w:rsidP="5BBF89A0">
      <w:pPr>
        <w:spacing w:line="240" w:lineRule="auto"/>
        <w:jc w:val="both"/>
        <w:rPr>
          <w:rFonts w:ascii="Arial" w:eastAsia="Arial" w:hAnsi="Arial" w:cs="Arial"/>
        </w:rPr>
      </w:pPr>
      <w:hyperlink r:id="rId19" w:history="1">
        <w:r w:rsidR="00182EA9" w:rsidRPr="00182EA9">
          <w:rPr>
            <w:rStyle w:val="Hyperlink"/>
            <w:rFonts w:ascii="Arial" w:eastAsia="Arial" w:hAnsi="Arial" w:cs="Arial"/>
          </w:rPr>
          <w:t>LGA digital infrastructure media statement</w:t>
        </w:r>
      </w:hyperlink>
    </w:p>
    <w:p w14:paraId="77C956D3" w14:textId="77777777" w:rsidR="00182EA9" w:rsidRDefault="00182EA9" w:rsidP="5BBF89A0">
      <w:pPr>
        <w:spacing w:line="240" w:lineRule="auto"/>
        <w:jc w:val="both"/>
        <w:rPr>
          <w:rFonts w:ascii="Arial" w:eastAsia="Arial" w:hAnsi="Arial" w:cs="Arial"/>
        </w:rPr>
      </w:pPr>
    </w:p>
    <w:p w14:paraId="55415D5C" w14:textId="77777777" w:rsidR="0022702C" w:rsidRPr="0022702C" w:rsidRDefault="0022702C" w:rsidP="0022702C">
      <w:pPr>
        <w:spacing w:line="240" w:lineRule="auto"/>
        <w:jc w:val="both"/>
        <w:rPr>
          <w:rFonts w:ascii="Arial" w:hAnsi="Arial" w:cs="Arial"/>
          <w:i/>
          <w:szCs w:val="24"/>
        </w:rPr>
      </w:pPr>
    </w:p>
    <w:p w14:paraId="6CC8F7D9" w14:textId="293954D5" w:rsidR="0054183E" w:rsidRPr="00C03C94" w:rsidRDefault="004A4834" w:rsidP="5BBF89A0">
      <w:pPr>
        <w:spacing w:line="240" w:lineRule="auto"/>
        <w:jc w:val="both"/>
        <w:rPr>
          <w:rFonts w:ascii="Arial" w:eastAsia="Arial" w:hAnsi="Arial" w:cs="Arial"/>
          <w:b/>
          <w:bCs/>
          <w:sz w:val="28"/>
          <w:szCs w:val="28"/>
        </w:rPr>
      </w:pPr>
      <w:r w:rsidRPr="00C03C94">
        <w:rPr>
          <w:rFonts w:ascii="Arial" w:eastAsia="Arial" w:hAnsi="Arial" w:cs="Arial"/>
          <w:b/>
          <w:bCs/>
          <w:sz w:val="28"/>
          <w:szCs w:val="28"/>
        </w:rPr>
        <w:t>K</w:t>
      </w:r>
      <w:r w:rsidR="00DD7620" w:rsidRPr="00C03C94">
        <w:rPr>
          <w:rFonts w:ascii="Arial" w:eastAsia="Arial" w:hAnsi="Arial" w:cs="Arial"/>
          <w:b/>
          <w:bCs/>
          <w:sz w:val="28"/>
          <w:szCs w:val="28"/>
        </w:rPr>
        <w:t>ey M</w:t>
      </w:r>
      <w:r w:rsidRPr="00C03C94">
        <w:rPr>
          <w:rFonts w:ascii="Arial" w:eastAsia="Arial" w:hAnsi="Arial" w:cs="Arial"/>
          <w:b/>
          <w:bCs/>
          <w:sz w:val="28"/>
          <w:szCs w:val="28"/>
        </w:rPr>
        <w:t>essages</w:t>
      </w:r>
    </w:p>
    <w:p w14:paraId="70A50371" w14:textId="2DD236E8" w:rsidR="002642A3" w:rsidRPr="00C03C94" w:rsidRDefault="002642A3" w:rsidP="5BBF89A0">
      <w:pPr>
        <w:spacing w:line="240" w:lineRule="auto"/>
        <w:jc w:val="both"/>
        <w:rPr>
          <w:rFonts w:ascii="Arial" w:eastAsia="Arial" w:hAnsi="Arial" w:cs="Arial"/>
          <w:b/>
          <w:bCs/>
          <w:szCs w:val="22"/>
        </w:rPr>
      </w:pPr>
    </w:p>
    <w:p w14:paraId="25F6CAC9" w14:textId="15CCED66" w:rsidR="00582710" w:rsidRPr="00C03C94" w:rsidRDefault="00582710" w:rsidP="00AB523F">
      <w:pPr>
        <w:pStyle w:val="NoSpacing"/>
        <w:numPr>
          <w:ilvl w:val="0"/>
          <w:numId w:val="2"/>
        </w:numPr>
        <w:spacing w:after="240"/>
        <w:jc w:val="both"/>
        <w:rPr>
          <w:rFonts w:ascii="Arial" w:eastAsia="Arial" w:hAnsi="Arial" w:cs="Arial"/>
          <w:sz w:val="22"/>
          <w:szCs w:val="22"/>
        </w:rPr>
      </w:pPr>
      <w:r w:rsidRPr="00C03C94">
        <w:rPr>
          <w:rFonts w:ascii="Arial" w:eastAsia="Arial" w:hAnsi="Arial" w:cs="Arial"/>
          <w:sz w:val="22"/>
          <w:szCs w:val="22"/>
        </w:rPr>
        <w:t xml:space="preserve">We are disappointed that the Government has failed to </w:t>
      </w:r>
      <w:r w:rsidR="002A2FB6" w:rsidRPr="00C03C94">
        <w:rPr>
          <w:rFonts w:ascii="Arial" w:eastAsia="Arial" w:hAnsi="Arial" w:cs="Arial"/>
          <w:sz w:val="22"/>
          <w:szCs w:val="22"/>
        </w:rPr>
        <w:t>address</w:t>
      </w:r>
      <w:r w:rsidRPr="00C03C94">
        <w:rPr>
          <w:rFonts w:ascii="Arial" w:eastAsia="Arial" w:hAnsi="Arial" w:cs="Arial"/>
          <w:sz w:val="22"/>
          <w:szCs w:val="22"/>
        </w:rPr>
        <w:t xml:space="preserve"> a number of issues of significance to local government:</w:t>
      </w:r>
    </w:p>
    <w:p w14:paraId="45F29A52" w14:textId="74890989" w:rsidR="00AE3E83" w:rsidRPr="00C03C94" w:rsidRDefault="00582710" w:rsidP="00AB523F">
      <w:pPr>
        <w:pStyle w:val="NoSpacing"/>
        <w:numPr>
          <w:ilvl w:val="1"/>
          <w:numId w:val="2"/>
        </w:numPr>
        <w:spacing w:after="240"/>
        <w:jc w:val="both"/>
        <w:rPr>
          <w:rFonts w:ascii="Arial" w:eastAsia="Arial" w:hAnsi="Arial" w:cs="Arial"/>
          <w:sz w:val="22"/>
          <w:szCs w:val="22"/>
        </w:rPr>
      </w:pPr>
      <w:r w:rsidRPr="00C03C94">
        <w:rPr>
          <w:rFonts w:ascii="Arial" w:hAnsi="Arial" w:cs="Arial"/>
          <w:b/>
          <w:sz w:val="22"/>
          <w:szCs w:val="22"/>
        </w:rPr>
        <w:t xml:space="preserve">Social care: </w:t>
      </w:r>
      <w:r w:rsidR="00C5148D" w:rsidRPr="00C03C94">
        <w:rPr>
          <w:rFonts w:ascii="Arial" w:hAnsi="Arial" w:cs="Arial"/>
          <w:sz w:val="22"/>
          <w:szCs w:val="22"/>
        </w:rPr>
        <w:t>Councils, the NHS, charities and care providers have been clear about the desperate need for the Chancellor to take action to tackle the funding crisis in adult social care</w:t>
      </w:r>
      <w:r w:rsidR="00766176" w:rsidRPr="00C03C94">
        <w:rPr>
          <w:rFonts w:ascii="Arial" w:hAnsi="Arial" w:cs="Arial"/>
          <w:sz w:val="22"/>
          <w:szCs w:val="22"/>
        </w:rPr>
        <w:t xml:space="preserve">. </w:t>
      </w:r>
      <w:r w:rsidR="00C5148D" w:rsidRPr="00C03C94">
        <w:rPr>
          <w:rFonts w:ascii="Arial" w:hAnsi="Arial" w:cs="Arial"/>
          <w:sz w:val="22"/>
          <w:szCs w:val="22"/>
        </w:rPr>
        <w:t xml:space="preserve">It is unacceptable that this has not been addressed in the Autumn Statement. The Government must take urgent action to properly fund social care if councils are to stand any chance of protecting the services which care for the elderly and vulnerable. Extra council tax-raising powers will not bring in enough money to alleviate the pressure on social care and councils will not receive the vast majority of new funding in the Better Care Fund until the end of the decade. Services supporting elderly and vulnerable </w:t>
      </w:r>
      <w:r w:rsidR="00441F45" w:rsidRPr="00C03C94">
        <w:rPr>
          <w:rFonts w:ascii="Arial" w:hAnsi="Arial" w:cs="Arial"/>
          <w:sz w:val="22"/>
          <w:szCs w:val="22"/>
        </w:rPr>
        <w:t xml:space="preserve">people </w:t>
      </w:r>
      <w:r w:rsidR="00C5148D" w:rsidRPr="00C03C94">
        <w:rPr>
          <w:rFonts w:ascii="Arial" w:hAnsi="Arial" w:cs="Arial"/>
          <w:sz w:val="22"/>
          <w:szCs w:val="22"/>
        </w:rPr>
        <w:t xml:space="preserve">are at breaking point now. </w:t>
      </w:r>
      <w:r w:rsidR="00955686" w:rsidRPr="00C03C94">
        <w:rPr>
          <w:rFonts w:ascii="Arial" w:hAnsi="Arial" w:cs="Arial"/>
          <w:sz w:val="22"/>
          <w:szCs w:val="22"/>
        </w:rPr>
        <w:t>We cannot ignore this challenge any longer and the Government must inject genuinely new additional funding.</w:t>
      </w:r>
    </w:p>
    <w:p w14:paraId="0221D73F" w14:textId="2AA162CE" w:rsidR="001A34FA" w:rsidRPr="00C03C94" w:rsidRDefault="00582710" w:rsidP="00AB523F">
      <w:pPr>
        <w:pStyle w:val="NoSpacing"/>
        <w:numPr>
          <w:ilvl w:val="1"/>
          <w:numId w:val="2"/>
        </w:numPr>
        <w:spacing w:after="240"/>
        <w:jc w:val="both"/>
        <w:rPr>
          <w:rFonts w:ascii="Arial" w:eastAsia="Arial" w:hAnsi="Arial" w:cs="Arial"/>
          <w:b/>
          <w:sz w:val="22"/>
          <w:szCs w:val="22"/>
        </w:rPr>
      </w:pPr>
      <w:r w:rsidRPr="00C03C94">
        <w:rPr>
          <w:rFonts w:ascii="Arial" w:hAnsi="Arial" w:cs="Arial"/>
          <w:b/>
          <w:sz w:val="22"/>
          <w:szCs w:val="22"/>
        </w:rPr>
        <w:t xml:space="preserve">Education Services Grant: </w:t>
      </w:r>
      <w:r w:rsidRPr="00C03C94">
        <w:rPr>
          <w:rFonts w:ascii="Arial" w:hAnsi="Arial" w:cs="Arial"/>
          <w:sz w:val="22"/>
          <w:szCs w:val="22"/>
        </w:rPr>
        <w:t>T</w:t>
      </w:r>
      <w:r w:rsidR="001A34FA" w:rsidRPr="00C03C94">
        <w:rPr>
          <w:rFonts w:ascii="Arial" w:hAnsi="Arial" w:cs="Arial"/>
          <w:sz w:val="22"/>
          <w:szCs w:val="22"/>
        </w:rPr>
        <w:t>he Government is pressing ahead with the planned £600</w:t>
      </w:r>
      <w:r w:rsidR="00717B94" w:rsidRPr="00C03C94">
        <w:rPr>
          <w:rFonts w:ascii="Arial" w:hAnsi="Arial" w:cs="Arial"/>
          <w:sz w:val="22"/>
          <w:szCs w:val="22"/>
        </w:rPr>
        <w:t xml:space="preserve"> </w:t>
      </w:r>
      <w:r w:rsidR="001A34FA" w:rsidRPr="00C03C94">
        <w:rPr>
          <w:rFonts w:ascii="Arial" w:hAnsi="Arial" w:cs="Arial"/>
          <w:sz w:val="22"/>
          <w:szCs w:val="22"/>
        </w:rPr>
        <w:t>m</w:t>
      </w:r>
      <w:r w:rsidR="00717B94" w:rsidRPr="00C03C94">
        <w:rPr>
          <w:rFonts w:ascii="Arial" w:hAnsi="Arial" w:cs="Arial"/>
          <w:sz w:val="22"/>
          <w:szCs w:val="22"/>
        </w:rPr>
        <w:t>illion</w:t>
      </w:r>
      <w:r w:rsidR="001A34FA" w:rsidRPr="00C03C94">
        <w:rPr>
          <w:rFonts w:ascii="Arial" w:hAnsi="Arial" w:cs="Arial"/>
          <w:sz w:val="22"/>
          <w:szCs w:val="22"/>
        </w:rPr>
        <w:t xml:space="preserve"> cut to the Education Services Grant, despite deciding not to go ahead with the Education for All Bill which </w:t>
      </w:r>
      <w:r w:rsidR="001A34FA" w:rsidRPr="00C03C94">
        <w:rPr>
          <w:rFonts w:ascii="Arial" w:hAnsi="Arial" w:cs="Arial"/>
          <w:sz w:val="22"/>
          <w:szCs w:val="22"/>
        </w:rPr>
        <w:lastRenderedPageBreak/>
        <w:t>would have removed councils' school improvement duties. Councils will now have duties with no funding to pay for them.</w:t>
      </w:r>
    </w:p>
    <w:p w14:paraId="03E1AF4B" w14:textId="706F37E0" w:rsidR="00441F45" w:rsidRPr="00C03C94" w:rsidRDefault="00441F45" w:rsidP="00AB523F">
      <w:pPr>
        <w:pStyle w:val="ListParagraph"/>
        <w:numPr>
          <w:ilvl w:val="0"/>
          <w:numId w:val="4"/>
        </w:numPr>
        <w:spacing w:after="240" w:line="240" w:lineRule="auto"/>
        <w:ind w:left="714" w:hanging="357"/>
        <w:jc w:val="both"/>
        <w:rPr>
          <w:rFonts w:ascii="Arial" w:eastAsia="Arial" w:hAnsi="Arial" w:cs="Arial"/>
          <w:b/>
          <w:szCs w:val="22"/>
        </w:rPr>
      </w:pPr>
      <w:r w:rsidRPr="00C03C94">
        <w:rPr>
          <w:rFonts w:ascii="Arial" w:hAnsi="Arial" w:cs="Arial"/>
          <w:szCs w:val="22"/>
        </w:rPr>
        <w:t xml:space="preserve">Government department spending control totals remain unchanged. We expect further information on spending priorities in departmental announcements. It is clear that additional funding is needed to address the aforementioned </w:t>
      </w:r>
      <w:r w:rsidR="005D2F12">
        <w:rPr>
          <w:rFonts w:ascii="Arial" w:hAnsi="Arial" w:cs="Arial"/>
          <w:szCs w:val="22"/>
        </w:rPr>
        <w:t xml:space="preserve">funding pressures and we would </w:t>
      </w:r>
      <w:r w:rsidRPr="00C03C94">
        <w:rPr>
          <w:rFonts w:ascii="Arial" w:hAnsi="Arial" w:cs="Arial"/>
          <w:szCs w:val="22"/>
        </w:rPr>
        <w:t xml:space="preserve">welcome publication of the Local Government Finance Settlement as soon as possible. </w:t>
      </w:r>
    </w:p>
    <w:p w14:paraId="68A49637" w14:textId="58B1A7CE" w:rsidR="00C226BF" w:rsidRPr="00C03C94" w:rsidRDefault="00C226BF" w:rsidP="00AB523F">
      <w:pPr>
        <w:pStyle w:val="NoSpacing"/>
        <w:numPr>
          <w:ilvl w:val="0"/>
          <w:numId w:val="4"/>
        </w:numPr>
        <w:spacing w:after="240"/>
        <w:jc w:val="both"/>
        <w:rPr>
          <w:rFonts w:ascii="Arial" w:eastAsia="Arial" w:hAnsi="Arial" w:cs="Arial"/>
          <w:sz w:val="22"/>
          <w:szCs w:val="22"/>
        </w:rPr>
      </w:pPr>
      <w:r w:rsidRPr="00C03C94">
        <w:rPr>
          <w:rFonts w:ascii="Arial" w:eastAsia="Arial" w:hAnsi="Arial" w:cs="Arial"/>
          <w:sz w:val="22"/>
          <w:szCs w:val="22"/>
        </w:rPr>
        <w:t xml:space="preserve">The Government has consulted on reforms to the New Homes Bonus and we </w:t>
      </w:r>
      <w:r w:rsidR="00B26462" w:rsidRPr="00C03C94">
        <w:rPr>
          <w:rFonts w:ascii="Arial" w:eastAsia="Arial" w:hAnsi="Arial" w:cs="Arial"/>
          <w:sz w:val="22"/>
          <w:szCs w:val="22"/>
        </w:rPr>
        <w:t>expect</w:t>
      </w:r>
      <w:r w:rsidRPr="00C03C94">
        <w:rPr>
          <w:rFonts w:ascii="Arial" w:eastAsia="Arial" w:hAnsi="Arial" w:cs="Arial"/>
          <w:sz w:val="22"/>
          <w:szCs w:val="22"/>
        </w:rPr>
        <w:t xml:space="preserve"> to see a response to this consultation in the Finance Settlement.</w:t>
      </w:r>
    </w:p>
    <w:p w14:paraId="7D6CB748" w14:textId="4D791695" w:rsidR="005557F7" w:rsidRPr="00C03C94" w:rsidRDefault="005557F7" w:rsidP="00AB523F">
      <w:pPr>
        <w:pStyle w:val="ListParagraph"/>
        <w:numPr>
          <w:ilvl w:val="0"/>
          <w:numId w:val="4"/>
        </w:numPr>
        <w:spacing w:after="240" w:line="240" w:lineRule="auto"/>
        <w:ind w:left="714" w:hanging="357"/>
        <w:jc w:val="both"/>
        <w:rPr>
          <w:rFonts w:ascii="Arial" w:eastAsia="Arial" w:hAnsi="Arial" w:cs="Arial"/>
          <w:b/>
          <w:szCs w:val="22"/>
        </w:rPr>
      </w:pPr>
      <w:r w:rsidRPr="00C03C94">
        <w:rPr>
          <w:rFonts w:ascii="Arial" w:hAnsi="Arial" w:cs="Arial"/>
          <w:szCs w:val="22"/>
        </w:rPr>
        <w:t>It is good news for local government that the Autumn Statement has accepted our call for measures to boost affordable housebuilding, which must be supported by adequate infrastructure, and which</w:t>
      </w:r>
      <w:r w:rsidR="00766176" w:rsidRPr="00C03C94">
        <w:rPr>
          <w:rFonts w:ascii="Arial" w:hAnsi="Arial" w:cs="Arial"/>
          <w:szCs w:val="22"/>
        </w:rPr>
        <w:t xml:space="preserve"> would</w:t>
      </w:r>
      <w:r w:rsidRPr="00C03C94">
        <w:rPr>
          <w:rFonts w:ascii="Arial" w:hAnsi="Arial" w:cs="Arial"/>
          <w:szCs w:val="22"/>
        </w:rPr>
        <w:t xml:space="preserve"> help councils </w:t>
      </w:r>
      <w:r w:rsidR="00766176" w:rsidRPr="00C03C94">
        <w:rPr>
          <w:rFonts w:ascii="Arial" w:hAnsi="Arial" w:cs="Arial"/>
          <w:szCs w:val="22"/>
        </w:rPr>
        <w:t>make a start on tackling</w:t>
      </w:r>
      <w:r w:rsidRPr="00C03C94">
        <w:rPr>
          <w:rFonts w:ascii="Arial" w:hAnsi="Arial" w:cs="Arial"/>
          <w:szCs w:val="22"/>
        </w:rPr>
        <w:t xml:space="preserve"> some of the nation’s roads repair backlog and improve broadband.</w:t>
      </w:r>
    </w:p>
    <w:p w14:paraId="01579E78" w14:textId="2A0EC764" w:rsidR="00441F45" w:rsidRPr="00C03C94" w:rsidRDefault="00441F45" w:rsidP="00AB523F">
      <w:pPr>
        <w:pStyle w:val="ListParagraph"/>
        <w:numPr>
          <w:ilvl w:val="0"/>
          <w:numId w:val="4"/>
        </w:numPr>
        <w:spacing w:after="240" w:line="240" w:lineRule="auto"/>
        <w:ind w:left="714" w:hanging="357"/>
        <w:jc w:val="both"/>
        <w:rPr>
          <w:rFonts w:ascii="Arial" w:eastAsia="Arial" w:hAnsi="Arial" w:cs="Arial"/>
          <w:szCs w:val="22"/>
        </w:rPr>
      </w:pPr>
      <w:r w:rsidRPr="00C03C94">
        <w:rPr>
          <w:rFonts w:ascii="Arial" w:eastAsia="Arial" w:hAnsi="Arial" w:cs="Arial"/>
          <w:szCs w:val="22"/>
        </w:rPr>
        <w:t>We welcomed the pre-Autumn Statement announcement that the planned pay to stay policy is to become voluntary. We need urgent clarification regarding the Government’s intention regarding receipts from high value asset sales.</w:t>
      </w:r>
    </w:p>
    <w:p w14:paraId="2A448FA8" w14:textId="1E8046C5" w:rsidR="005557F7" w:rsidRPr="00C03C94" w:rsidRDefault="005557F7" w:rsidP="00AB523F">
      <w:pPr>
        <w:pStyle w:val="ListParagraph"/>
        <w:numPr>
          <w:ilvl w:val="0"/>
          <w:numId w:val="4"/>
        </w:numPr>
        <w:spacing w:after="240" w:line="240" w:lineRule="auto"/>
        <w:ind w:left="714" w:hanging="357"/>
        <w:jc w:val="both"/>
        <w:rPr>
          <w:rFonts w:ascii="Arial" w:eastAsia="Arial" w:hAnsi="Arial" w:cs="Arial"/>
          <w:b/>
          <w:szCs w:val="22"/>
        </w:rPr>
      </w:pPr>
      <w:r w:rsidRPr="00C03C94">
        <w:rPr>
          <w:rFonts w:ascii="Arial" w:hAnsi="Arial" w:cs="Arial"/>
          <w:szCs w:val="22"/>
        </w:rPr>
        <w:t>The next few years will be extremely challenging for councils who we estimate face an overall £5.8 billion funding gap by 2020. Many councils are faced with difficult decisions about which services are scaled back or stopped altogether. The Government must allow local government to use the extra business rates income it will keep by 2020 to plug this growing funding gap.</w:t>
      </w:r>
    </w:p>
    <w:p w14:paraId="4F6957B6" w14:textId="78ECCCF8" w:rsidR="00582710" w:rsidRPr="00C03C94" w:rsidRDefault="00FB656D" w:rsidP="00AE3E83">
      <w:pPr>
        <w:spacing w:line="240" w:lineRule="auto"/>
        <w:jc w:val="both"/>
        <w:rPr>
          <w:rFonts w:ascii="Arial" w:eastAsia="Arial" w:hAnsi="Arial" w:cs="Arial"/>
          <w:b/>
        </w:rPr>
      </w:pPr>
      <w:r w:rsidRPr="00C03C94">
        <w:rPr>
          <w:rFonts w:ascii="Arial" w:eastAsia="Arial" w:hAnsi="Arial" w:cs="Arial"/>
          <w:b/>
        </w:rPr>
        <w:t>This briefing covers the following areas announced today:</w:t>
      </w:r>
    </w:p>
    <w:p w14:paraId="607B655F" w14:textId="77777777" w:rsidR="00FB656D" w:rsidRPr="00C03C94" w:rsidRDefault="00FB656D" w:rsidP="00AE3E83">
      <w:pPr>
        <w:spacing w:line="240" w:lineRule="auto"/>
        <w:jc w:val="both"/>
        <w:rPr>
          <w:rFonts w:ascii="Arial" w:eastAsia="Arial" w:hAnsi="Arial" w:cs="Arial"/>
        </w:rPr>
      </w:pPr>
    </w:p>
    <w:p w14:paraId="1511DED5" w14:textId="77777777" w:rsidR="00457377" w:rsidRPr="00C03C94" w:rsidRDefault="00457377" w:rsidP="00457377">
      <w:pPr>
        <w:pStyle w:val="PlainText"/>
      </w:pPr>
      <w:r w:rsidRPr="00C03C94">
        <w:t>Adult social care</w:t>
      </w:r>
    </w:p>
    <w:p w14:paraId="699E5AE2" w14:textId="77777777" w:rsidR="00457377" w:rsidRPr="00C03C94" w:rsidRDefault="00457377" w:rsidP="00457377">
      <w:pPr>
        <w:pStyle w:val="PlainText"/>
      </w:pPr>
      <w:r w:rsidRPr="00C03C94">
        <w:t>Housing</w:t>
      </w:r>
    </w:p>
    <w:p w14:paraId="7B117135" w14:textId="77777777" w:rsidR="00457377" w:rsidRPr="00C03C94" w:rsidRDefault="00457377" w:rsidP="00457377">
      <w:pPr>
        <w:pStyle w:val="PlainText"/>
      </w:pPr>
      <w:r w:rsidRPr="00C03C94">
        <w:t>Supported Housing</w:t>
      </w:r>
    </w:p>
    <w:p w14:paraId="6730E7AD" w14:textId="7D6EF5B3" w:rsidR="00457377" w:rsidRPr="00C03C94" w:rsidRDefault="00573342" w:rsidP="00457377">
      <w:pPr>
        <w:pStyle w:val="PlainText"/>
      </w:pPr>
      <w:r w:rsidRPr="00C03C94">
        <w:t>Local g</w:t>
      </w:r>
      <w:r w:rsidR="00457377" w:rsidRPr="00C03C94">
        <w:t>rowth</w:t>
      </w:r>
    </w:p>
    <w:p w14:paraId="5A34C791" w14:textId="5627062F" w:rsidR="00457377" w:rsidRPr="00C03C94" w:rsidRDefault="00183828" w:rsidP="00457377">
      <w:pPr>
        <w:pStyle w:val="PlainText"/>
      </w:pPr>
      <w:r>
        <w:t>Local i</w:t>
      </w:r>
      <w:r w:rsidR="00457377" w:rsidRPr="00C03C94">
        <w:t>nfrastructure</w:t>
      </w:r>
    </w:p>
    <w:p w14:paraId="35D8D8D9" w14:textId="77777777" w:rsidR="00457377" w:rsidRPr="00C03C94" w:rsidRDefault="00457377" w:rsidP="00457377">
      <w:pPr>
        <w:pStyle w:val="PlainText"/>
      </w:pPr>
      <w:r w:rsidRPr="00C03C94">
        <w:t>Education Services Grant</w:t>
      </w:r>
    </w:p>
    <w:p w14:paraId="5B03C822" w14:textId="77777777" w:rsidR="00457377" w:rsidRPr="00C03C94" w:rsidRDefault="00457377" w:rsidP="00457377">
      <w:pPr>
        <w:pStyle w:val="PlainText"/>
      </w:pPr>
      <w:r w:rsidRPr="00C03C94">
        <w:t>Flooding</w:t>
      </w:r>
    </w:p>
    <w:p w14:paraId="3B21AF3F" w14:textId="77777777" w:rsidR="00457377" w:rsidRPr="00C03C94" w:rsidRDefault="00457377" w:rsidP="00457377">
      <w:pPr>
        <w:pStyle w:val="PlainText"/>
      </w:pPr>
      <w:r w:rsidRPr="00C03C94">
        <w:t>Local transport</w:t>
      </w:r>
    </w:p>
    <w:p w14:paraId="164CD723" w14:textId="77777777" w:rsidR="00457377" w:rsidRPr="00C03C94" w:rsidRDefault="00457377" w:rsidP="00457377">
      <w:pPr>
        <w:pStyle w:val="PlainText"/>
      </w:pPr>
      <w:r w:rsidRPr="00C03C94">
        <w:t>Digital infrastructure</w:t>
      </w:r>
    </w:p>
    <w:p w14:paraId="1CE605A0" w14:textId="77777777" w:rsidR="00457377" w:rsidRPr="00C03C94" w:rsidRDefault="00457377" w:rsidP="00457377">
      <w:pPr>
        <w:pStyle w:val="PlainText"/>
      </w:pPr>
      <w:r w:rsidRPr="00C03C94">
        <w:t>Devolution</w:t>
      </w:r>
    </w:p>
    <w:p w14:paraId="3F728F89" w14:textId="77777777" w:rsidR="00457377" w:rsidRPr="00C03C94" w:rsidRDefault="00457377" w:rsidP="00457377">
      <w:pPr>
        <w:pStyle w:val="PlainText"/>
      </w:pPr>
      <w:r w:rsidRPr="00C03C94">
        <w:t>Employment support and adult skills</w:t>
      </w:r>
    </w:p>
    <w:p w14:paraId="28F94E64" w14:textId="77777777" w:rsidR="00457377" w:rsidRPr="00C03C94" w:rsidRDefault="00457377" w:rsidP="00457377">
      <w:pPr>
        <w:pStyle w:val="PlainText"/>
      </w:pPr>
      <w:r w:rsidRPr="00C03C94">
        <w:t>Business rates</w:t>
      </w:r>
    </w:p>
    <w:p w14:paraId="7F412113" w14:textId="77777777" w:rsidR="00457377" w:rsidRPr="00C03C94" w:rsidRDefault="00457377" w:rsidP="00457377">
      <w:pPr>
        <w:pStyle w:val="PlainText"/>
      </w:pPr>
      <w:r w:rsidRPr="00C03C94">
        <w:t>National Living Wage</w:t>
      </w:r>
    </w:p>
    <w:p w14:paraId="009ED270" w14:textId="77777777" w:rsidR="00457377" w:rsidRPr="00C03C94" w:rsidRDefault="00457377" w:rsidP="00457377">
      <w:pPr>
        <w:pStyle w:val="PlainText"/>
      </w:pPr>
      <w:r w:rsidRPr="00C03C94">
        <w:t>National Insurance</w:t>
      </w:r>
    </w:p>
    <w:p w14:paraId="67FBC1F7" w14:textId="77777777" w:rsidR="00457377" w:rsidRPr="00C03C94" w:rsidRDefault="00457377" w:rsidP="00457377">
      <w:pPr>
        <w:pStyle w:val="PlainText"/>
      </w:pPr>
      <w:r w:rsidRPr="00C03C94">
        <w:t>Off payroll working rules</w:t>
      </w:r>
    </w:p>
    <w:p w14:paraId="129F9B77" w14:textId="0BC7BD53" w:rsidR="00573342" w:rsidRPr="00C03C94" w:rsidRDefault="00573342" w:rsidP="00573342">
      <w:pPr>
        <w:spacing w:line="240" w:lineRule="auto"/>
        <w:rPr>
          <w:rFonts w:ascii="Arial" w:hAnsi="Arial" w:cs="Arial"/>
        </w:rPr>
      </w:pPr>
      <w:r w:rsidRPr="00C03C94">
        <w:rPr>
          <w:rFonts w:ascii="Arial" w:hAnsi="Arial" w:cs="Arial"/>
        </w:rPr>
        <w:t xml:space="preserve">Taxation, </w:t>
      </w:r>
      <w:r w:rsidR="005D2F12">
        <w:rPr>
          <w:rFonts w:ascii="Arial" w:hAnsi="Arial" w:cs="Arial"/>
        </w:rPr>
        <w:t>salary s</w:t>
      </w:r>
      <w:r w:rsidRPr="00C03C94">
        <w:rPr>
          <w:rFonts w:ascii="Arial" w:hAnsi="Arial" w:cs="Arial"/>
        </w:rPr>
        <w:t>acrifice, benefits in kind and expenses</w:t>
      </w:r>
    </w:p>
    <w:p w14:paraId="67BF076F" w14:textId="1FAE2EAA" w:rsidR="00457377" w:rsidRPr="00C03C94" w:rsidRDefault="00573342" w:rsidP="00457377">
      <w:pPr>
        <w:pStyle w:val="PlainText"/>
      </w:pPr>
      <w:r w:rsidRPr="00C03C94">
        <w:t>Shale Wealth F</w:t>
      </w:r>
      <w:r w:rsidR="00457377" w:rsidRPr="00C03C94">
        <w:t>und</w:t>
      </w:r>
    </w:p>
    <w:p w14:paraId="268D2B48" w14:textId="77777777" w:rsidR="00457377" w:rsidRPr="00C03C94" w:rsidRDefault="00457377" w:rsidP="00457377">
      <w:pPr>
        <w:pStyle w:val="PlainText"/>
      </w:pPr>
      <w:r w:rsidRPr="00C03C94">
        <w:t>Universal Credit taper</w:t>
      </w:r>
    </w:p>
    <w:p w14:paraId="10C22999" w14:textId="77777777" w:rsidR="00457377" w:rsidRPr="00C03C94" w:rsidRDefault="00457377" w:rsidP="00457377">
      <w:pPr>
        <w:pStyle w:val="PlainText"/>
      </w:pPr>
      <w:r w:rsidRPr="00C03C94">
        <w:t>Licensing and tax conditionality</w:t>
      </w:r>
    </w:p>
    <w:p w14:paraId="03C28E27" w14:textId="77777777" w:rsidR="00457377" w:rsidRPr="00C03C94" w:rsidRDefault="00457377" w:rsidP="00457377">
      <w:pPr>
        <w:pStyle w:val="PlainText"/>
      </w:pPr>
      <w:r w:rsidRPr="00C03C94">
        <w:t>Violence against women and girls</w:t>
      </w:r>
    </w:p>
    <w:p w14:paraId="59D43127" w14:textId="77777777" w:rsidR="00457377" w:rsidRPr="00C03C94" w:rsidRDefault="00457377" w:rsidP="00457377">
      <w:pPr>
        <w:pStyle w:val="PlainText"/>
      </w:pPr>
      <w:r w:rsidRPr="00C03C94">
        <w:t>Pension scams</w:t>
      </w:r>
    </w:p>
    <w:p w14:paraId="3C6E8DD8" w14:textId="77777777" w:rsidR="00457377" w:rsidRPr="00C03C94" w:rsidRDefault="00457377" w:rsidP="00457377">
      <w:pPr>
        <w:pStyle w:val="PlainText"/>
      </w:pPr>
      <w:r w:rsidRPr="00C03C94">
        <w:t>Loan sharks</w:t>
      </w:r>
    </w:p>
    <w:p w14:paraId="784467CA" w14:textId="16ADB240" w:rsidR="00457377" w:rsidRPr="00C03C94" w:rsidRDefault="00457377" w:rsidP="00457377">
      <w:pPr>
        <w:pStyle w:val="PlainText"/>
      </w:pPr>
      <w:r w:rsidRPr="00C03C94">
        <w:t xml:space="preserve">Prison safety and </w:t>
      </w:r>
      <w:r w:rsidR="00573342" w:rsidRPr="00C03C94">
        <w:t xml:space="preserve">wider reforms to the </w:t>
      </w:r>
      <w:r w:rsidRPr="00C03C94">
        <w:t>justice</w:t>
      </w:r>
      <w:r w:rsidR="00573342" w:rsidRPr="00C03C94">
        <w:t xml:space="preserve"> system</w:t>
      </w:r>
    </w:p>
    <w:p w14:paraId="734EA5CB" w14:textId="77777777" w:rsidR="00457377" w:rsidRPr="00C03C94" w:rsidRDefault="00457377" w:rsidP="00457377">
      <w:pPr>
        <w:pStyle w:val="PlainText"/>
      </w:pPr>
      <w:r w:rsidRPr="00C03C94">
        <w:t>EU funding</w:t>
      </w:r>
    </w:p>
    <w:p w14:paraId="2B3B4EDD" w14:textId="77777777" w:rsidR="00457377" w:rsidRPr="00C03C94" w:rsidRDefault="00457377" w:rsidP="00457377">
      <w:pPr>
        <w:pStyle w:val="PlainText"/>
      </w:pPr>
      <w:r w:rsidRPr="00C03C94">
        <w:t>Public finance</w:t>
      </w:r>
    </w:p>
    <w:p w14:paraId="1D4D4057" w14:textId="77777777" w:rsidR="00457377" w:rsidRPr="00C03C94" w:rsidRDefault="00457377" w:rsidP="00457377">
      <w:pPr>
        <w:pStyle w:val="PlainText"/>
      </w:pPr>
    </w:p>
    <w:p w14:paraId="209BEDE9" w14:textId="77777777" w:rsidR="00573342" w:rsidRPr="00C03C94" w:rsidRDefault="00573342" w:rsidP="00AE3E83">
      <w:pPr>
        <w:spacing w:line="240" w:lineRule="auto"/>
        <w:jc w:val="both"/>
        <w:rPr>
          <w:rFonts w:ascii="Arial" w:eastAsia="Arial" w:hAnsi="Arial" w:cs="Arial"/>
          <w:b/>
          <w:u w:val="single"/>
        </w:rPr>
      </w:pPr>
    </w:p>
    <w:p w14:paraId="1902C103" w14:textId="77777777" w:rsidR="00573342" w:rsidRPr="00C03C94" w:rsidRDefault="00573342" w:rsidP="00AE3E83">
      <w:pPr>
        <w:spacing w:line="240" w:lineRule="auto"/>
        <w:jc w:val="both"/>
        <w:rPr>
          <w:rFonts w:ascii="Arial" w:eastAsia="Arial" w:hAnsi="Arial" w:cs="Arial"/>
          <w:b/>
          <w:u w:val="single"/>
        </w:rPr>
      </w:pPr>
    </w:p>
    <w:p w14:paraId="228CF617" w14:textId="0982941D" w:rsidR="00E111F3" w:rsidRPr="00C03C94" w:rsidRDefault="00E111F3" w:rsidP="00AE3E83">
      <w:pPr>
        <w:spacing w:line="240" w:lineRule="auto"/>
        <w:jc w:val="both"/>
        <w:rPr>
          <w:rFonts w:ascii="Arial" w:eastAsia="Arial" w:hAnsi="Arial" w:cs="Arial"/>
          <w:b/>
          <w:u w:val="single"/>
        </w:rPr>
      </w:pPr>
      <w:r w:rsidRPr="00C03C94">
        <w:rPr>
          <w:rFonts w:ascii="Arial" w:eastAsia="Arial" w:hAnsi="Arial" w:cs="Arial"/>
          <w:b/>
          <w:u w:val="single"/>
        </w:rPr>
        <w:t xml:space="preserve">Adult social care </w:t>
      </w:r>
    </w:p>
    <w:p w14:paraId="2AB6B180" w14:textId="77777777" w:rsidR="00E111F3" w:rsidRPr="00C03C94" w:rsidRDefault="00E111F3" w:rsidP="00AE3E83">
      <w:pPr>
        <w:spacing w:line="240" w:lineRule="auto"/>
        <w:jc w:val="both"/>
        <w:rPr>
          <w:rFonts w:ascii="Arial" w:eastAsia="Arial" w:hAnsi="Arial" w:cs="Arial"/>
          <w:b/>
          <w:u w:val="single"/>
        </w:rPr>
      </w:pPr>
    </w:p>
    <w:p w14:paraId="140402AD" w14:textId="1617114C" w:rsidR="00441F45" w:rsidRPr="00C03C94" w:rsidRDefault="00441F45" w:rsidP="00441F45">
      <w:pPr>
        <w:spacing w:line="240" w:lineRule="auto"/>
        <w:jc w:val="both"/>
        <w:rPr>
          <w:rFonts w:ascii="Arial" w:eastAsia="Arial" w:hAnsi="Arial" w:cs="Arial"/>
          <w:b/>
          <w:u w:val="single"/>
        </w:rPr>
      </w:pPr>
      <w:r w:rsidRPr="00C03C94">
        <w:rPr>
          <w:rFonts w:ascii="Arial" w:eastAsia="Arial" w:hAnsi="Arial" w:cs="Arial"/>
          <w:b/>
        </w:rPr>
        <w:t>The Chancellor was silent on adult social care.</w:t>
      </w:r>
    </w:p>
    <w:p w14:paraId="78E754ED" w14:textId="77777777" w:rsidR="00441F45" w:rsidRPr="00C03C94" w:rsidRDefault="00441F45" w:rsidP="00AE3E83">
      <w:pPr>
        <w:spacing w:line="240" w:lineRule="auto"/>
        <w:jc w:val="both"/>
        <w:rPr>
          <w:rFonts w:ascii="Arial" w:eastAsia="Arial" w:hAnsi="Arial" w:cs="Arial"/>
          <w:b/>
          <w:u w:val="single"/>
        </w:rPr>
      </w:pPr>
    </w:p>
    <w:p w14:paraId="0DFF40F1" w14:textId="6B61E0BD" w:rsidR="00441F45" w:rsidRPr="00C03C94" w:rsidRDefault="00441F45" w:rsidP="00E111F3">
      <w:pPr>
        <w:pStyle w:val="NoSpacing"/>
        <w:rPr>
          <w:rFonts w:ascii="Arial" w:hAnsi="Arial" w:cs="Arial"/>
          <w:b/>
          <w:sz w:val="22"/>
          <w:szCs w:val="22"/>
        </w:rPr>
      </w:pPr>
      <w:r w:rsidRPr="00C03C94">
        <w:rPr>
          <w:rFonts w:ascii="Arial" w:hAnsi="Arial" w:cs="Arial"/>
          <w:b/>
          <w:sz w:val="22"/>
          <w:szCs w:val="22"/>
        </w:rPr>
        <w:t>LGA view:</w:t>
      </w:r>
    </w:p>
    <w:p w14:paraId="146B1719" w14:textId="77777777" w:rsidR="00441F45" w:rsidRPr="00C03C94" w:rsidRDefault="00441F45" w:rsidP="00E111F3">
      <w:pPr>
        <w:pStyle w:val="NoSpacing"/>
        <w:rPr>
          <w:rFonts w:ascii="Arial" w:hAnsi="Arial" w:cs="Arial"/>
          <w:sz w:val="22"/>
          <w:szCs w:val="22"/>
        </w:rPr>
      </w:pPr>
    </w:p>
    <w:p w14:paraId="4987BCD4" w14:textId="3AEC9353" w:rsidR="00E111F3" w:rsidRPr="00C03C94" w:rsidRDefault="00E111F3" w:rsidP="00AB523F">
      <w:pPr>
        <w:pStyle w:val="NoSpacing"/>
        <w:numPr>
          <w:ilvl w:val="0"/>
          <w:numId w:val="48"/>
        </w:numPr>
        <w:jc w:val="both"/>
        <w:rPr>
          <w:rFonts w:ascii="Arial" w:hAnsi="Arial" w:cs="Arial"/>
          <w:sz w:val="22"/>
          <w:szCs w:val="22"/>
        </w:rPr>
      </w:pPr>
      <w:r w:rsidRPr="00C03C94">
        <w:rPr>
          <w:rFonts w:ascii="Arial" w:hAnsi="Arial" w:cs="Arial"/>
          <w:sz w:val="22"/>
          <w:szCs w:val="22"/>
        </w:rPr>
        <w:t xml:space="preserve">In recent months the entire care and health sector, including councils, providers, </w:t>
      </w:r>
      <w:r w:rsidR="00FB656D" w:rsidRPr="00C03C94">
        <w:rPr>
          <w:rFonts w:ascii="Arial" w:hAnsi="Arial" w:cs="Arial"/>
          <w:sz w:val="22"/>
          <w:szCs w:val="22"/>
        </w:rPr>
        <w:t>charities,</w:t>
      </w:r>
      <w:r w:rsidRPr="00C03C94">
        <w:rPr>
          <w:rFonts w:ascii="Arial" w:hAnsi="Arial" w:cs="Arial"/>
          <w:sz w:val="22"/>
          <w:szCs w:val="22"/>
        </w:rPr>
        <w:t xml:space="preserve"> the NHS</w:t>
      </w:r>
      <w:r w:rsidR="00FB656D" w:rsidRPr="00C03C94">
        <w:rPr>
          <w:rFonts w:ascii="Arial" w:hAnsi="Arial" w:cs="Arial"/>
          <w:sz w:val="22"/>
          <w:szCs w:val="22"/>
        </w:rPr>
        <w:t xml:space="preserve">, health economists, Parliamentarians and the </w:t>
      </w:r>
      <w:r w:rsidR="00717B94" w:rsidRPr="00C03C94">
        <w:rPr>
          <w:rFonts w:ascii="Arial" w:hAnsi="Arial" w:cs="Arial"/>
          <w:sz w:val="22"/>
          <w:szCs w:val="22"/>
        </w:rPr>
        <w:t>Care Quality Commission</w:t>
      </w:r>
      <w:r w:rsidRPr="00C03C94">
        <w:rPr>
          <w:rFonts w:ascii="Arial" w:hAnsi="Arial" w:cs="Arial"/>
          <w:sz w:val="22"/>
          <w:szCs w:val="22"/>
        </w:rPr>
        <w:t xml:space="preserve"> have united around the urgent need to address the unsustainable pressures facing adult social care and the growing funding gap those pressures are creating. The Government’s failure to act on these calls, and by implication its insistence that adult social care has the resource it needs, is unacceptable. </w:t>
      </w:r>
      <w:r w:rsidR="008051C1" w:rsidRPr="00C03C94">
        <w:rPr>
          <w:rFonts w:ascii="Arial" w:hAnsi="Arial" w:cs="Arial"/>
          <w:sz w:val="22"/>
          <w:szCs w:val="22"/>
        </w:rPr>
        <w:t>The absence of</w:t>
      </w:r>
      <w:r w:rsidRPr="00C03C94">
        <w:rPr>
          <w:rFonts w:ascii="Arial" w:hAnsi="Arial" w:cs="Arial"/>
          <w:sz w:val="22"/>
          <w:szCs w:val="22"/>
        </w:rPr>
        <w:t xml:space="preserve"> additional funding </w:t>
      </w:r>
      <w:r w:rsidR="008051C1" w:rsidRPr="00C03C94">
        <w:rPr>
          <w:rFonts w:ascii="Arial" w:hAnsi="Arial" w:cs="Arial"/>
          <w:sz w:val="22"/>
          <w:szCs w:val="22"/>
        </w:rPr>
        <w:t>will have</w:t>
      </w:r>
      <w:r w:rsidRPr="00C03C94">
        <w:rPr>
          <w:rFonts w:ascii="Arial" w:hAnsi="Arial" w:cs="Arial"/>
          <w:sz w:val="22"/>
          <w:szCs w:val="22"/>
        </w:rPr>
        <w:t xml:space="preserve"> knock-on effects on the viability of providers and the sustainability of the NHS. Most importantly, the impact will fall on residents. Unmet need is likely to increase and elderly and vulnerable people will continue to face an uncertain future in which they might not receive the care they need to support their independence and wellbeing. Those receiving services may see </w:t>
      </w:r>
      <w:r w:rsidR="00B12245" w:rsidRPr="00C03C94">
        <w:rPr>
          <w:rFonts w:ascii="Arial" w:hAnsi="Arial" w:cs="Arial"/>
          <w:sz w:val="22"/>
          <w:szCs w:val="22"/>
        </w:rPr>
        <w:t>further reductions in the care and support they receive.</w:t>
      </w:r>
    </w:p>
    <w:p w14:paraId="7763E695" w14:textId="77777777" w:rsidR="00E111F3" w:rsidRPr="00C03C94" w:rsidRDefault="00E111F3" w:rsidP="00AB523F">
      <w:pPr>
        <w:pStyle w:val="NoSpacing"/>
        <w:jc w:val="both"/>
        <w:rPr>
          <w:rFonts w:ascii="Arial" w:hAnsi="Arial" w:cs="Arial"/>
          <w:sz w:val="22"/>
          <w:szCs w:val="22"/>
        </w:rPr>
      </w:pPr>
    </w:p>
    <w:p w14:paraId="4E91CC9A" w14:textId="4CAF496A" w:rsidR="00E111F3" w:rsidRPr="00C03C94" w:rsidRDefault="00E111F3" w:rsidP="00AB523F">
      <w:pPr>
        <w:pStyle w:val="NoSpacing"/>
        <w:numPr>
          <w:ilvl w:val="0"/>
          <w:numId w:val="48"/>
        </w:numPr>
        <w:jc w:val="both"/>
        <w:rPr>
          <w:rFonts w:ascii="Arial" w:hAnsi="Arial" w:cs="Arial"/>
          <w:sz w:val="22"/>
          <w:szCs w:val="22"/>
        </w:rPr>
      </w:pPr>
      <w:r w:rsidRPr="00C03C94">
        <w:rPr>
          <w:rFonts w:ascii="Arial" w:hAnsi="Arial" w:cs="Arial"/>
          <w:sz w:val="22"/>
          <w:szCs w:val="22"/>
        </w:rPr>
        <w:t>The LGA estimates that adult social care faces a funding gap of £1.3 billion by 2019/20 (even with the measures announced in the 2015 Spending Review) based on pressures caused by demography, inflation and the National Living Wage.</w:t>
      </w:r>
      <w:r w:rsidR="00764210" w:rsidRPr="00C03C94">
        <w:rPr>
          <w:rFonts w:ascii="Arial" w:hAnsi="Arial" w:cs="Arial"/>
          <w:sz w:val="22"/>
          <w:szCs w:val="22"/>
        </w:rPr>
        <w:t xml:space="preserve"> In addition to this,</w:t>
      </w:r>
      <w:r w:rsidR="00B12245" w:rsidRPr="00C03C94">
        <w:rPr>
          <w:rFonts w:ascii="Arial" w:hAnsi="Arial" w:cs="Arial"/>
          <w:sz w:val="22"/>
          <w:szCs w:val="22"/>
        </w:rPr>
        <w:t xml:space="preserve"> LGA analysis of ‘fair price’ of care calculations</w:t>
      </w:r>
      <w:r w:rsidR="00764210" w:rsidRPr="00C03C94">
        <w:rPr>
          <w:rFonts w:ascii="Arial" w:hAnsi="Arial" w:cs="Arial"/>
          <w:sz w:val="22"/>
          <w:szCs w:val="22"/>
        </w:rPr>
        <w:t xml:space="preserve"> </w:t>
      </w:r>
      <w:r w:rsidR="00B12245" w:rsidRPr="00C03C94">
        <w:rPr>
          <w:rFonts w:ascii="Arial" w:hAnsi="Arial" w:cs="Arial"/>
          <w:sz w:val="22"/>
          <w:szCs w:val="22"/>
        </w:rPr>
        <w:t xml:space="preserve">developed by provider organisations suggests that the scale of the immediate challenge could be in the order of at least £1.3 billion. </w:t>
      </w:r>
      <w:r w:rsidRPr="00C03C94">
        <w:rPr>
          <w:rFonts w:ascii="Arial" w:hAnsi="Arial" w:cs="Arial"/>
          <w:sz w:val="22"/>
          <w:szCs w:val="22"/>
        </w:rPr>
        <w:t xml:space="preserve">This is the </w:t>
      </w:r>
      <w:r w:rsidR="00B12245" w:rsidRPr="00C03C94">
        <w:rPr>
          <w:rFonts w:ascii="Arial" w:hAnsi="Arial" w:cs="Arial"/>
          <w:sz w:val="22"/>
          <w:szCs w:val="22"/>
        </w:rPr>
        <w:t xml:space="preserve">minimum requirement to </w:t>
      </w:r>
      <w:r w:rsidR="00BC32F7" w:rsidRPr="00C03C94">
        <w:rPr>
          <w:rFonts w:ascii="Arial" w:hAnsi="Arial" w:cs="Arial"/>
          <w:sz w:val="22"/>
          <w:szCs w:val="22"/>
        </w:rPr>
        <w:t>stabilise</w:t>
      </w:r>
      <w:r w:rsidR="004B4378" w:rsidRPr="00C03C94">
        <w:rPr>
          <w:rFonts w:ascii="Arial" w:hAnsi="Arial" w:cs="Arial"/>
          <w:sz w:val="22"/>
          <w:szCs w:val="22"/>
        </w:rPr>
        <w:t xml:space="preserve"> the provider market meaning that a total of at least £2.6 billion is needed by the end of the decade.</w:t>
      </w:r>
    </w:p>
    <w:p w14:paraId="4A630E21" w14:textId="77777777" w:rsidR="00E111F3" w:rsidRPr="00C03C94" w:rsidRDefault="00E111F3" w:rsidP="00AB523F">
      <w:pPr>
        <w:pStyle w:val="NoSpacing"/>
        <w:jc w:val="both"/>
        <w:rPr>
          <w:rFonts w:ascii="Arial" w:hAnsi="Arial" w:cs="Arial"/>
          <w:sz w:val="22"/>
          <w:szCs w:val="22"/>
        </w:rPr>
      </w:pPr>
    </w:p>
    <w:p w14:paraId="5521EE31" w14:textId="699360CE" w:rsidR="00E111F3" w:rsidRPr="00C03C94" w:rsidRDefault="00E111F3" w:rsidP="00AB523F">
      <w:pPr>
        <w:pStyle w:val="NoSpacing"/>
        <w:numPr>
          <w:ilvl w:val="0"/>
          <w:numId w:val="48"/>
        </w:numPr>
        <w:jc w:val="both"/>
        <w:rPr>
          <w:rFonts w:ascii="Arial" w:hAnsi="Arial" w:cs="Arial"/>
          <w:sz w:val="22"/>
          <w:szCs w:val="22"/>
        </w:rPr>
      </w:pPr>
      <w:r w:rsidRPr="00C03C94">
        <w:rPr>
          <w:rFonts w:ascii="Arial" w:hAnsi="Arial" w:cs="Arial"/>
          <w:sz w:val="22"/>
          <w:szCs w:val="22"/>
        </w:rPr>
        <w:t>Immediate and medium-term challenges of this scale simply cannot be ignored any longer. As a country we need far greater recognition of why social care matters and why it must be treated as a national priority. If councils are to stand any chance of protecting such vital services that support elderly and vulnerable</w:t>
      </w:r>
      <w:r w:rsidR="00441F45" w:rsidRPr="00C03C94">
        <w:rPr>
          <w:rFonts w:ascii="Arial" w:hAnsi="Arial" w:cs="Arial"/>
          <w:sz w:val="22"/>
          <w:szCs w:val="22"/>
        </w:rPr>
        <w:t xml:space="preserve"> people</w:t>
      </w:r>
      <w:r w:rsidRPr="00C03C94">
        <w:rPr>
          <w:rFonts w:ascii="Arial" w:hAnsi="Arial" w:cs="Arial"/>
          <w:sz w:val="22"/>
          <w:szCs w:val="22"/>
        </w:rPr>
        <w:t xml:space="preserve"> then we need urgent action to put social care on a sustainable financial footing. </w:t>
      </w:r>
      <w:r w:rsidR="00875B7C" w:rsidRPr="00C03C94">
        <w:rPr>
          <w:rFonts w:ascii="Arial" w:hAnsi="Arial" w:cs="Arial"/>
          <w:sz w:val="22"/>
          <w:szCs w:val="22"/>
        </w:rPr>
        <w:t>This must mean genuinely new additional funding.</w:t>
      </w:r>
    </w:p>
    <w:p w14:paraId="79E46FB5" w14:textId="1CE1C282" w:rsidR="008513CE" w:rsidRPr="00C03C94" w:rsidRDefault="008513CE" w:rsidP="00E111F3">
      <w:pPr>
        <w:pStyle w:val="NoSpacing"/>
        <w:rPr>
          <w:rFonts w:ascii="Arial" w:hAnsi="Arial" w:cs="Arial"/>
          <w:sz w:val="22"/>
          <w:szCs w:val="22"/>
        </w:rPr>
      </w:pPr>
    </w:p>
    <w:p w14:paraId="1F248C6B" w14:textId="77777777" w:rsidR="00434BBC" w:rsidRPr="00C03C94" w:rsidRDefault="00434BBC" w:rsidP="00434BBC">
      <w:pPr>
        <w:pStyle w:val="NoSpacing"/>
        <w:rPr>
          <w:rFonts w:ascii="Arial" w:hAnsi="Arial" w:cs="Arial"/>
          <w:b/>
          <w:sz w:val="22"/>
          <w:szCs w:val="22"/>
          <w:u w:val="single"/>
        </w:rPr>
      </w:pPr>
      <w:r w:rsidRPr="00C03C94">
        <w:rPr>
          <w:rFonts w:ascii="Arial" w:hAnsi="Arial" w:cs="Arial"/>
          <w:b/>
          <w:sz w:val="22"/>
          <w:szCs w:val="22"/>
          <w:u w:val="single"/>
        </w:rPr>
        <w:t>Housing</w:t>
      </w:r>
    </w:p>
    <w:p w14:paraId="582B9A12" w14:textId="77777777" w:rsidR="00434BBC" w:rsidRPr="00C03C94" w:rsidRDefault="00434BBC" w:rsidP="00434BBC">
      <w:pPr>
        <w:pStyle w:val="NoSpacing"/>
        <w:rPr>
          <w:rFonts w:ascii="Arial" w:hAnsi="Arial" w:cs="Arial"/>
          <w:sz w:val="22"/>
          <w:szCs w:val="22"/>
          <w:u w:val="single"/>
        </w:rPr>
      </w:pPr>
    </w:p>
    <w:p w14:paraId="1BC27D08" w14:textId="77777777" w:rsidR="00434BBC" w:rsidRPr="00B66656" w:rsidRDefault="00434BBC" w:rsidP="00434BBC">
      <w:pPr>
        <w:pStyle w:val="NoSpacing"/>
        <w:rPr>
          <w:rFonts w:ascii="Arial" w:hAnsi="Arial" w:cs="Arial"/>
          <w:sz w:val="22"/>
          <w:szCs w:val="22"/>
          <w:u w:val="single"/>
        </w:rPr>
      </w:pPr>
      <w:r w:rsidRPr="00B66656">
        <w:rPr>
          <w:rFonts w:ascii="Arial" w:hAnsi="Arial" w:cs="Arial"/>
          <w:sz w:val="22"/>
          <w:szCs w:val="22"/>
          <w:u w:val="single"/>
        </w:rPr>
        <w:t>Housing Infrastructure Fund</w:t>
      </w:r>
    </w:p>
    <w:p w14:paraId="0F43633E" w14:textId="77777777" w:rsidR="00434BBC" w:rsidRPr="00C03C94" w:rsidRDefault="00434BBC" w:rsidP="00434BBC">
      <w:pPr>
        <w:pStyle w:val="NoSpacing"/>
        <w:rPr>
          <w:rFonts w:ascii="Arial" w:hAnsi="Arial" w:cs="Arial"/>
          <w:sz w:val="22"/>
          <w:szCs w:val="22"/>
          <w:u w:val="single"/>
        </w:rPr>
      </w:pPr>
    </w:p>
    <w:p w14:paraId="2742F201" w14:textId="77777777" w:rsidR="00434BBC" w:rsidRPr="00C03C94" w:rsidRDefault="00434BBC" w:rsidP="00434BBC">
      <w:pPr>
        <w:pStyle w:val="NoSpacing"/>
        <w:rPr>
          <w:rFonts w:ascii="Arial" w:hAnsi="Arial" w:cs="Arial"/>
          <w:b/>
          <w:sz w:val="22"/>
          <w:szCs w:val="22"/>
        </w:rPr>
      </w:pPr>
      <w:r w:rsidRPr="00C03C94">
        <w:rPr>
          <w:rFonts w:ascii="Arial" w:hAnsi="Arial" w:cs="Arial"/>
          <w:b/>
          <w:sz w:val="22"/>
          <w:szCs w:val="22"/>
        </w:rPr>
        <w:t>The Chancellor confirmed:</w:t>
      </w:r>
    </w:p>
    <w:p w14:paraId="4E4AD7D8" w14:textId="77777777" w:rsidR="00434BBC" w:rsidRPr="00C03C94" w:rsidRDefault="00434BBC" w:rsidP="00434BBC">
      <w:pPr>
        <w:pStyle w:val="NoSpacing"/>
        <w:rPr>
          <w:rFonts w:ascii="Arial" w:hAnsi="Arial" w:cs="Arial"/>
          <w:sz w:val="22"/>
          <w:szCs w:val="22"/>
        </w:rPr>
      </w:pPr>
    </w:p>
    <w:p w14:paraId="28475E40" w14:textId="77777777" w:rsidR="00434BBC" w:rsidRPr="00C03C94" w:rsidRDefault="00434BBC" w:rsidP="00434BBC">
      <w:pPr>
        <w:pStyle w:val="NoSpacing"/>
        <w:numPr>
          <w:ilvl w:val="0"/>
          <w:numId w:val="12"/>
        </w:numPr>
        <w:jc w:val="both"/>
        <w:rPr>
          <w:rFonts w:ascii="Arial" w:hAnsi="Arial" w:cs="Arial"/>
          <w:sz w:val="22"/>
          <w:szCs w:val="22"/>
        </w:rPr>
      </w:pPr>
      <w:r w:rsidRPr="00C03C94">
        <w:rPr>
          <w:rFonts w:ascii="Arial" w:hAnsi="Arial" w:cs="Arial"/>
          <w:sz w:val="22"/>
          <w:szCs w:val="22"/>
        </w:rPr>
        <w:t xml:space="preserve">A £2.3 billion Housing Infrastructure Fund up to 2020/21 to deliver infrastructure that will support the building of 100,000 new homes in high demand areas, which will be allocated to local government on a competitive basis </w:t>
      </w:r>
      <w:r w:rsidRPr="00C03C94">
        <w:rPr>
          <w:rFonts w:ascii="Arial" w:hAnsi="Arial" w:cs="Arial"/>
          <w:i/>
          <w:sz w:val="22"/>
          <w:szCs w:val="22"/>
        </w:rPr>
        <w:t>(Page 27, paragraph 3.11).</w:t>
      </w:r>
    </w:p>
    <w:p w14:paraId="54F77C7D" w14:textId="77777777" w:rsidR="00434BBC" w:rsidRPr="00C03C94" w:rsidRDefault="00434BBC" w:rsidP="00434BBC">
      <w:pPr>
        <w:pStyle w:val="NoSpacing"/>
        <w:rPr>
          <w:rFonts w:ascii="Arial" w:hAnsi="Arial" w:cs="Arial"/>
          <w:i/>
          <w:sz w:val="22"/>
          <w:szCs w:val="22"/>
        </w:rPr>
      </w:pPr>
    </w:p>
    <w:p w14:paraId="356FACF0" w14:textId="77777777" w:rsidR="00434BBC" w:rsidRPr="00C03C94" w:rsidRDefault="00434BBC" w:rsidP="00434BBC">
      <w:pPr>
        <w:pStyle w:val="NoSpacing"/>
        <w:rPr>
          <w:rFonts w:ascii="Arial" w:hAnsi="Arial" w:cs="Arial"/>
          <w:b/>
          <w:sz w:val="22"/>
          <w:szCs w:val="22"/>
        </w:rPr>
      </w:pPr>
      <w:r w:rsidRPr="00C03C94">
        <w:rPr>
          <w:rFonts w:ascii="Arial" w:hAnsi="Arial" w:cs="Arial"/>
          <w:b/>
          <w:sz w:val="22"/>
          <w:szCs w:val="22"/>
        </w:rPr>
        <w:t>LGA view:</w:t>
      </w:r>
    </w:p>
    <w:p w14:paraId="184A51C0" w14:textId="77777777" w:rsidR="00434BBC" w:rsidRPr="00C03C94" w:rsidRDefault="00434BBC" w:rsidP="00434BBC">
      <w:pPr>
        <w:pStyle w:val="NoSpacing"/>
        <w:rPr>
          <w:rFonts w:ascii="Arial" w:hAnsi="Arial" w:cs="Arial"/>
          <w:sz w:val="22"/>
          <w:szCs w:val="22"/>
        </w:rPr>
      </w:pPr>
    </w:p>
    <w:p w14:paraId="762EEF10" w14:textId="77777777" w:rsidR="00434BBC" w:rsidRPr="00C03C94" w:rsidRDefault="00434BBC" w:rsidP="00434BBC">
      <w:pPr>
        <w:pStyle w:val="NoSpacing"/>
        <w:numPr>
          <w:ilvl w:val="0"/>
          <w:numId w:val="12"/>
        </w:numPr>
        <w:jc w:val="both"/>
        <w:rPr>
          <w:rFonts w:ascii="Arial" w:hAnsi="Arial" w:cs="Arial"/>
          <w:sz w:val="22"/>
          <w:szCs w:val="22"/>
          <w:lang w:eastAsia="en-US"/>
        </w:rPr>
      </w:pPr>
      <w:r w:rsidRPr="00C03C94">
        <w:rPr>
          <w:rFonts w:ascii="Arial" w:hAnsi="Arial" w:cs="Arial"/>
          <w:sz w:val="22"/>
          <w:szCs w:val="22"/>
        </w:rPr>
        <w:t xml:space="preserve">The LGA is pleased with the commitment to invest in infrastructure that is linked to housing growth, reflecting our Autumn Statement recommendation that housing be treated as a crucial part of local infrastructure, and our preliminary Housing Commission findings that infrastructure spending be increasingly linked to housing growth. </w:t>
      </w:r>
    </w:p>
    <w:p w14:paraId="0196417C" w14:textId="77777777" w:rsidR="00434BBC" w:rsidRPr="00C03C94" w:rsidRDefault="00434BBC" w:rsidP="00434BBC">
      <w:pPr>
        <w:pStyle w:val="NoSpacing"/>
        <w:jc w:val="both"/>
        <w:rPr>
          <w:rFonts w:ascii="Arial" w:hAnsi="Arial" w:cs="Arial"/>
          <w:sz w:val="22"/>
          <w:szCs w:val="22"/>
        </w:rPr>
      </w:pPr>
    </w:p>
    <w:p w14:paraId="7C5AF182" w14:textId="77777777" w:rsidR="00434BBC" w:rsidRPr="00C03C94" w:rsidRDefault="00434BBC" w:rsidP="00434BBC">
      <w:pPr>
        <w:pStyle w:val="NoSpacing"/>
        <w:numPr>
          <w:ilvl w:val="0"/>
          <w:numId w:val="12"/>
        </w:numPr>
        <w:jc w:val="both"/>
        <w:rPr>
          <w:rFonts w:ascii="Arial" w:hAnsi="Arial" w:cs="Arial"/>
          <w:b/>
          <w:bCs/>
          <w:sz w:val="22"/>
          <w:szCs w:val="22"/>
        </w:rPr>
      </w:pPr>
      <w:r w:rsidRPr="00C03C94">
        <w:rPr>
          <w:rFonts w:ascii="Arial" w:hAnsi="Arial" w:cs="Arial"/>
          <w:sz w:val="22"/>
          <w:szCs w:val="22"/>
        </w:rPr>
        <w:lastRenderedPageBreak/>
        <w:t>Local communities are far more likely to back development when they know that it will come with the associated investment in necessary local services and infrastructure. It is important that councils are able to shape investment through the fund to ensure that it helps build the right homes in the right places, with the right supporting infrastructure.</w:t>
      </w:r>
    </w:p>
    <w:p w14:paraId="47F002A9" w14:textId="77777777" w:rsidR="00434BBC" w:rsidRPr="00C03C94" w:rsidRDefault="00434BBC" w:rsidP="00434BBC">
      <w:pPr>
        <w:pStyle w:val="ListParagraph"/>
        <w:rPr>
          <w:rFonts w:ascii="Arial" w:hAnsi="Arial" w:cs="Arial"/>
          <w:b/>
          <w:bCs/>
          <w:szCs w:val="22"/>
        </w:rPr>
      </w:pPr>
    </w:p>
    <w:p w14:paraId="5DA2EB21" w14:textId="77777777" w:rsidR="00434BBC" w:rsidRPr="00B66656" w:rsidRDefault="00434BBC" w:rsidP="00434BBC">
      <w:pPr>
        <w:pStyle w:val="NoSpacing"/>
        <w:rPr>
          <w:rFonts w:ascii="Arial" w:hAnsi="Arial" w:cs="Arial"/>
          <w:bCs/>
          <w:sz w:val="22"/>
          <w:szCs w:val="22"/>
          <w:u w:val="single"/>
        </w:rPr>
      </w:pPr>
      <w:r w:rsidRPr="00B66656">
        <w:rPr>
          <w:rFonts w:ascii="Arial" w:hAnsi="Arial" w:cs="Arial"/>
          <w:bCs/>
          <w:sz w:val="22"/>
          <w:szCs w:val="22"/>
          <w:u w:val="single"/>
        </w:rPr>
        <w:t>Investment in affordable housing</w:t>
      </w:r>
    </w:p>
    <w:p w14:paraId="4E2333BE" w14:textId="77777777" w:rsidR="00434BBC" w:rsidRPr="00C03C94" w:rsidRDefault="00434BBC" w:rsidP="00434BBC">
      <w:pPr>
        <w:pStyle w:val="NoSpacing"/>
        <w:rPr>
          <w:rFonts w:ascii="Arial" w:hAnsi="Arial" w:cs="Arial"/>
          <w:b/>
          <w:bCs/>
          <w:sz w:val="22"/>
          <w:szCs w:val="22"/>
          <w:u w:val="single"/>
        </w:rPr>
      </w:pPr>
    </w:p>
    <w:p w14:paraId="3784E94C" w14:textId="77777777" w:rsidR="00434BBC" w:rsidRPr="00C03C94" w:rsidRDefault="00434BBC" w:rsidP="00434BBC">
      <w:pPr>
        <w:pStyle w:val="NoSpacing"/>
        <w:rPr>
          <w:rFonts w:ascii="Arial" w:hAnsi="Arial" w:cs="Arial"/>
          <w:b/>
          <w:bCs/>
          <w:sz w:val="22"/>
          <w:szCs w:val="22"/>
          <w:u w:val="single"/>
        </w:rPr>
      </w:pPr>
      <w:r w:rsidRPr="00C03C94">
        <w:rPr>
          <w:rFonts w:ascii="Arial" w:hAnsi="Arial" w:cs="Arial"/>
          <w:b/>
          <w:bCs/>
          <w:sz w:val="22"/>
          <w:szCs w:val="22"/>
        </w:rPr>
        <w:t>The Chancellor announced:</w:t>
      </w:r>
    </w:p>
    <w:p w14:paraId="00F6EA52" w14:textId="77777777" w:rsidR="00434BBC" w:rsidRPr="00C03C94" w:rsidRDefault="00434BBC" w:rsidP="00434BBC">
      <w:pPr>
        <w:pStyle w:val="NoSpacing"/>
        <w:rPr>
          <w:rFonts w:ascii="Arial" w:hAnsi="Arial" w:cs="Arial"/>
          <w:sz w:val="22"/>
          <w:szCs w:val="22"/>
          <w:u w:val="single"/>
        </w:rPr>
      </w:pPr>
    </w:p>
    <w:p w14:paraId="1B87F9DF" w14:textId="77777777" w:rsidR="00434BBC" w:rsidRPr="00C03C94" w:rsidRDefault="00434BBC" w:rsidP="00434BBC">
      <w:pPr>
        <w:pStyle w:val="NoSpacing"/>
        <w:numPr>
          <w:ilvl w:val="0"/>
          <w:numId w:val="13"/>
        </w:numPr>
        <w:jc w:val="both"/>
        <w:rPr>
          <w:rFonts w:ascii="Arial" w:hAnsi="Arial" w:cs="Arial"/>
          <w:sz w:val="22"/>
          <w:szCs w:val="22"/>
        </w:rPr>
      </w:pPr>
      <w:r w:rsidRPr="00C03C94">
        <w:rPr>
          <w:rFonts w:ascii="Arial" w:hAnsi="Arial" w:cs="Arial"/>
          <w:sz w:val="22"/>
          <w:szCs w:val="22"/>
        </w:rPr>
        <w:t>An additional £1.4 billion of funding for building an additional 40,000 homes from the Affordable Homes Programme up to 2020/21, with flexibility to build affordable rented, shared ownership and rent to buy homes across the whole programme (</w:t>
      </w:r>
      <w:r w:rsidRPr="00C03C94">
        <w:rPr>
          <w:rFonts w:ascii="Arial" w:hAnsi="Arial" w:cs="Arial"/>
          <w:i/>
          <w:sz w:val="22"/>
          <w:szCs w:val="22"/>
        </w:rPr>
        <w:t>Page 27, paragraph 3.11).</w:t>
      </w:r>
    </w:p>
    <w:p w14:paraId="4A89AEB0" w14:textId="77777777" w:rsidR="00434BBC" w:rsidRPr="00C03C94" w:rsidRDefault="00434BBC" w:rsidP="00434BBC">
      <w:pPr>
        <w:pStyle w:val="NoSpacing"/>
        <w:rPr>
          <w:rFonts w:ascii="Arial" w:hAnsi="Arial" w:cs="Arial"/>
          <w:i/>
          <w:sz w:val="22"/>
          <w:szCs w:val="22"/>
        </w:rPr>
      </w:pPr>
    </w:p>
    <w:p w14:paraId="1EFF70A4" w14:textId="77777777" w:rsidR="00434BBC" w:rsidRPr="00C03C94" w:rsidRDefault="00434BBC" w:rsidP="00434BBC">
      <w:pPr>
        <w:pStyle w:val="NoSpacing"/>
        <w:rPr>
          <w:rFonts w:ascii="Arial" w:hAnsi="Arial" w:cs="Arial"/>
          <w:b/>
          <w:sz w:val="22"/>
          <w:szCs w:val="22"/>
        </w:rPr>
      </w:pPr>
      <w:r w:rsidRPr="00C03C94">
        <w:rPr>
          <w:rFonts w:ascii="Arial" w:hAnsi="Arial" w:cs="Arial"/>
          <w:b/>
          <w:sz w:val="22"/>
          <w:szCs w:val="22"/>
        </w:rPr>
        <w:t>LGA view:</w:t>
      </w:r>
    </w:p>
    <w:p w14:paraId="48910584" w14:textId="77777777" w:rsidR="00434BBC" w:rsidRPr="00C03C94" w:rsidRDefault="00434BBC" w:rsidP="00434BBC">
      <w:pPr>
        <w:pStyle w:val="NoSpacing"/>
        <w:rPr>
          <w:rFonts w:ascii="Arial" w:hAnsi="Arial" w:cs="Arial"/>
          <w:sz w:val="22"/>
          <w:szCs w:val="22"/>
        </w:rPr>
      </w:pPr>
    </w:p>
    <w:p w14:paraId="7E8D6CCB" w14:textId="77777777" w:rsidR="00434BBC" w:rsidRPr="00C03C94" w:rsidRDefault="00434BBC" w:rsidP="00434BBC">
      <w:pPr>
        <w:pStyle w:val="NoSpacing"/>
        <w:numPr>
          <w:ilvl w:val="0"/>
          <w:numId w:val="13"/>
        </w:numPr>
        <w:jc w:val="both"/>
        <w:rPr>
          <w:rFonts w:ascii="Arial" w:hAnsi="Arial" w:cs="Arial"/>
          <w:sz w:val="22"/>
          <w:szCs w:val="22"/>
          <w:lang w:eastAsia="en-US"/>
        </w:rPr>
      </w:pPr>
      <w:r w:rsidRPr="00C03C94">
        <w:rPr>
          <w:rFonts w:ascii="Arial" w:hAnsi="Arial" w:cs="Arial"/>
          <w:sz w:val="22"/>
          <w:szCs w:val="22"/>
        </w:rPr>
        <w:t>The renewed investment in building affordable homes is welcome; it will help councils, housing associations and partners to build more affordable rented homes. In our Autumn Statement submission the LGA argued for renewed investment in affordable house building as crucial, shovel-ready infrastructure that delivers long-term returns to the Exchequer. Councils should be central to the delivery of building this housing.</w:t>
      </w:r>
    </w:p>
    <w:p w14:paraId="1293B1C4" w14:textId="77777777" w:rsidR="00434BBC" w:rsidRPr="00C03C94" w:rsidRDefault="00434BBC" w:rsidP="00434BBC">
      <w:pPr>
        <w:pStyle w:val="NoSpacing"/>
        <w:jc w:val="both"/>
        <w:rPr>
          <w:rFonts w:ascii="Arial" w:hAnsi="Arial" w:cs="Arial"/>
          <w:sz w:val="22"/>
          <w:szCs w:val="22"/>
        </w:rPr>
      </w:pPr>
    </w:p>
    <w:p w14:paraId="47177628" w14:textId="77777777" w:rsidR="00434BBC" w:rsidRPr="00C03C94" w:rsidRDefault="00434BBC" w:rsidP="00434BBC">
      <w:pPr>
        <w:pStyle w:val="NoSpacing"/>
        <w:numPr>
          <w:ilvl w:val="0"/>
          <w:numId w:val="13"/>
        </w:numPr>
        <w:jc w:val="both"/>
        <w:rPr>
          <w:rFonts w:ascii="Arial" w:hAnsi="Arial" w:cs="Arial"/>
          <w:sz w:val="22"/>
          <w:szCs w:val="22"/>
        </w:rPr>
      </w:pPr>
      <w:r w:rsidRPr="00C03C94">
        <w:rPr>
          <w:rFonts w:ascii="Arial" w:hAnsi="Arial" w:cs="Arial"/>
          <w:sz w:val="22"/>
          <w:szCs w:val="22"/>
        </w:rPr>
        <w:t>The emphasis on the flexible use of this investment in different tenures is important, this should extend to social rented homes that will be crucial to meeting the needs of some communities and putting less pressure on the Housing Benefit budget. It is important that councils, working with partners, are able to ensure that new house building across social rent, affordable rent and low-cost home-ownership meet the different needs of local communities.</w:t>
      </w:r>
    </w:p>
    <w:p w14:paraId="6A1CC115" w14:textId="77777777" w:rsidR="00434BBC" w:rsidRPr="00C03C94" w:rsidRDefault="00434BBC" w:rsidP="00434BBC">
      <w:pPr>
        <w:rPr>
          <w:rFonts w:ascii="Arial" w:hAnsi="Arial" w:cs="Arial"/>
          <w:szCs w:val="22"/>
        </w:rPr>
      </w:pPr>
    </w:p>
    <w:p w14:paraId="6C2839B0" w14:textId="77777777" w:rsidR="00434BBC" w:rsidRPr="00B66656" w:rsidRDefault="00434BBC" w:rsidP="00434BBC">
      <w:pPr>
        <w:rPr>
          <w:rFonts w:ascii="Arial" w:hAnsi="Arial" w:cs="Arial"/>
          <w:bCs/>
          <w:szCs w:val="22"/>
          <w:u w:val="single"/>
        </w:rPr>
      </w:pPr>
      <w:r w:rsidRPr="00B66656">
        <w:rPr>
          <w:rFonts w:ascii="Arial" w:hAnsi="Arial" w:cs="Arial"/>
          <w:bCs/>
          <w:szCs w:val="22"/>
          <w:u w:val="single"/>
        </w:rPr>
        <w:t>Extension of Right to Buy pilots</w:t>
      </w:r>
    </w:p>
    <w:p w14:paraId="5E3A06D4" w14:textId="77777777" w:rsidR="00434BBC" w:rsidRPr="00C03C94" w:rsidRDefault="00434BBC" w:rsidP="00434BBC">
      <w:pPr>
        <w:pStyle w:val="NoSpacing"/>
        <w:rPr>
          <w:rFonts w:ascii="Arial" w:hAnsi="Arial" w:cs="Arial"/>
          <w:sz w:val="22"/>
          <w:szCs w:val="22"/>
        </w:rPr>
      </w:pPr>
    </w:p>
    <w:p w14:paraId="7324D073" w14:textId="77777777" w:rsidR="00434BBC" w:rsidRPr="00C03C94" w:rsidRDefault="00434BBC" w:rsidP="00434BBC">
      <w:pPr>
        <w:rPr>
          <w:rFonts w:ascii="Arial" w:hAnsi="Arial" w:cs="Arial"/>
          <w:b/>
          <w:bCs/>
          <w:szCs w:val="22"/>
        </w:rPr>
      </w:pPr>
      <w:r w:rsidRPr="00C03C94">
        <w:rPr>
          <w:rFonts w:ascii="Arial" w:hAnsi="Arial" w:cs="Arial"/>
          <w:b/>
          <w:bCs/>
          <w:szCs w:val="22"/>
        </w:rPr>
        <w:t>The Chancellor announced:</w:t>
      </w:r>
    </w:p>
    <w:p w14:paraId="665DB905" w14:textId="77777777" w:rsidR="00434BBC" w:rsidRPr="00C03C94" w:rsidRDefault="00434BBC" w:rsidP="00434BBC">
      <w:pPr>
        <w:pStyle w:val="NoSpacing"/>
        <w:rPr>
          <w:rFonts w:ascii="Arial" w:hAnsi="Arial" w:cs="Arial"/>
          <w:sz w:val="22"/>
          <w:szCs w:val="22"/>
        </w:rPr>
      </w:pPr>
    </w:p>
    <w:p w14:paraId="348FEEBA" w14:textId="77777777" w:rsidR="00434BBC" w:rsidRPr="00C03C94" w:rsidRDefault="00434BBC" w:rsidP="00434BBC">
      <w:pPr>
        <w:pStyle w:val="NoSpacing"/>
        <w:numPr>
          <w:ilvl w:val="0"/>
          <w:numId w:val="14"/>
        </w:numPr>
        <w:jc w:val="both"/>
        <w:rPr>
          <w:rFonts w:ascii="Arial" w:hAnsi="Arial" w:cs="Arial"/>
          <w:sz w:val="22"/>
          <w:szCs w:val="22"/>
        </w:rPr>
      </w:pPr>
      <w:r w:rsidRPr="00C03C94">
        <w:rPr>
          <w:rFonts w:ascii="Arial" w:hAnsi="Arial" w:cs="Arial"/>
          <w:sz w:val="22"/>
          <w:szCs w:val="22"/>
        </w:rPr>
        <w:t>Government will fund a large-scale regional pilot of the Right to Buy for housing association tenants (</w:t>
      </w:r>
      <w:r w:rsidRPr="00C03C94">
        <w:rPr>
          <w:rFonts w:ascii="Arial" w:hAnsi="Arial" w:cs="Arial"/>
          <w:i/>
          <w:sz w:val="22"/>
          <w:szCs w:val="22"/>
        </w:rPr>
        <w:t>Page 27, paragraph 3.13).</w:t>
      </w:r>
    </w:p>
    <w:p w14:paraId="10C61D5B" w14:textId="77777777" w:rsidR="00434BBC" w:rsidRPr="00C03C94" w:rsidRDefault="00434BBC" w:rsidP="00434BBC">
      <w:pPr>
        <w:pStyle w:val="NoSpacing"/>
        <w:rPr>
          <w:rFonts w:ascii="Arial" w:hAnsi="Arial" w:cs="Arial"/>
          <w:i/>
          <w:sz w:val="22"/>
          <w:szCs w:val="22"/>
        </w:rPr>
      </w:pPr>
    </w:p>
    <w:p w14:paraId="1B60DFFD" w14:textId="77777777" w:rsidR="00434BBC" w:rsidRPr="00C03C94" w:rsidRDefault="00434BBC" w:rsidP="00434BBC">
      <w:pPr>
        <w:pStyle w:val="NoSpacing"/>
        <w:rPr>
          <w:rFonts w:ascii="Arial" w:hAnsi="Arial" w:cs="Arial"/>
          <w:b/>
          <w:sz w:val="22"/>
          <w:szCs w:val="22"/>
        </w:rPr>
      </w:pPr>
      <w:r w:rsidRPr="00C03C94">
        <w:rPr>
          <w:rFonts w:ascii="Arial" w:hAnsi="Arial" w:cs="Arial"/>
          <w:b/>
          <w:sz w:val="22"/>
          <w:szCs w:val="22"/>
        </w:rPr>
        <w:t>LGA view:</w:t>
      </w:r>
    </w:p>
    <w:p w14:paraId="6E7D9BAA" w14:textId="77777777" w:rsidR="00434BBC" w:rsidRPr="00C03C94" w:rsidRDefault="00434BBC" w:rsidP="00434BBC">
      <w:pPr>
        <w:pStyle w:val="NoSpacing"/>
        <w:rPr>
          <w:rFonts w:ascii="Arial" w:hAnsi="Arial" w:cs="Arial"/>
          <w:sz w:val="22"/>
          <w:szCs w:val="22"/>
        </w:rPr>
      </w:pPr>
    </w:p>
    <w:p w14:paraId="63C9AFC8" w14:textId="77777777" w:rsidR="00434BBC" w:rsidRPr="00C03C94" w:rsidRDefault="00434BBC" w:rsidP="00434BBC">
      <w:pPr>
        <w:pStyle w:val="NoSpacing"/>
        <w:numPr>
          <w:ilvl w:val="0"/>
          <w:numId w:val="14"/>
        </w:numPr>
        <w:jc w:val="both"/>
        <w:rPr>
          <w:rFonts w:ascii="Arial" w:hAnsi="Arial" w:cs="Arial"/>
          <w:sz w:val="22"/>
          <w:szCs w:val="22"/>
          <w:lang w:eastAsia="en-US"/>
        </w:rPr>
      </w:pPr>
      <w:r w:rsidRPr="00C03C94">
        <w:rPr>
          <w:rFonts w:ascii="Arial" w:hAnsi="Arial" w:cs="Arial"/>
          <w:sz w:val="22"/>
          <w:szCs w:val="22"/>
        </w:rPr>
        <w:t>It is important that the Government will properly pilot the extension of the Right to Buy. We are pleased that the costs for this are being met by the Government and that the LGA’s arguments have been heard.</w:t>
      </w:r>
    </w:p>
    <w:p w14:paraId="4B698291" w14:textId="77777777" w:rsidR="00434BBC" w:rsidRPr="00C03C94" w:rsidRDefault="00434BBC" w:rsidP="00434BBC">
      <w:pPr>
        <w:pStyle w:val="NoSpacing"/>
        <w:jc w:val="both"/>
        <w:rPr>
          <w:rFonts w:ascii="Arial" w:hAnsi="Arial" w:cs="Arial"/>
          <w:sz w:val="22"/>
          <w:szCs w:val="22"/>
        </w:rPr>
      </w:pPr>
    </w:p>
    <w:p w14:paraId="29C2D8A2" w14:textId="77777777" w:rsidR="00434BBC" w:rsidRPr="00C03C94" w:rsidRDefault="00434BBC" w:rsidP="00434BBC">
      <w:pPr>
        <w:pStyle w:val="NoSpacing"/>
        <w:numPr>
          <w:ilvl w:val="0"/>
          <w:numId w:val="14"/>
        </w:numPr>
        <w:jc w:val="both"/>
        <w:rPr>
          <w:rFonts w:ascii="Arial" w:hAnsi="Arial" w:cs="Arial"/>
          <w:sz w:val="22"/>
          <w:szCs w:val="22"/>
        </w:rPr>
      </w:pPr>
      <w:r w:rsidRPr="00C03C94">
        <w:rPr>
          <w:rFonts w:ascii="Arial" w:hAnsi="Arial" w:cs="Arial"/>
          <w:sz w:val="22"/>
          <w:szCs w:val="22"/>
        </w:rPr>
        <w:t xml:space="preserve">In our submission to the Autumn Statement the LGA called for the extension of the Right to Buy and the sale of high value council assets policies to be decoupled. We have argued that it should be voluntary for councils to decide whether or not to sell their higher value homes, and that they be able to keep 100 per cent of receipts to invest in building new homes. </w:t>
      </w:r>
    </w:p>
    <w:p w14:paraId="32FD7E2B" w14:textId="77777777" w:rsidR="00434BBC" w:rsidRPr="00C03C94" w:rsidRDefault="00434BBC" w:rsidP="00434BBC">
      <w:pPr>
        <w:pStyle w:val="ListParagraph"/>
        <w:jc w:val="both"/>
        <w:rPr>
          <w:rFonts w:ascii="Arial" w:hAnsi="Arial" w:cs="Arial"/>
          <w:szCs w:val="22"/>
        </w:rPr>
      </w:pPr>
    </w:p>
    <w:p w14:paraId="41DDFDC1" w14:textId="77777777" w:rsidR="00434BBC" w:rsidRPr="00C03C94" w:rsidRDefault="00434BBC" w:rsidP="00434BBC">
      <w:pPr>
        <w:pStyle w:val="NoSpacing"/>
        <w:numPr>
          <w:ilvl w:val="0"/>
          <w:numId w:val="14"/>
        </w:numPr>
        <w:jc w:val="both"/>
        <w:rPr>
          <w:rFonts w:ascii="Arial" w:hAnsi="Arial" w:cs="Arial"/>
          <w:sz w:val="22"/>
          <w:szCs w:val="22"/>
        </w:rPr>
      </w:pPr>
      <w:r w:rsidRPr="00C03C94">
        <w:rPr>
          <w:rFonts w:ascii="Arial" w:hAnsi="Arial" w:cs="Arial"/>
          <w:sz w:val="22"/>
          <w:szCs w:val="22"/>
        </w:rPr>
        <w:t>We have argued that the extension of Right to Buy should not be funded by forcing local authorities to sell higher value council homes. We would like to see this confirmed in the Local Government Finance Settlement.</w:t>
      </w:r>
    </w:p>
    <w:p w14:paraId="7C5CAF8C" w14:textId="77777777" w:rsidR="00434BBC" w:rsidRPr="00C03C94" w:rsidRDefault="00434BBC" w:rsidP="00434BBC">
      <w:pPr>
        <w:rPr>
          <w:rFonts w:ascii="Arial" w:hAnsi="Arial" w:cs="Arial"/>
          <w:b/>
          <w:bCs/>
          <w:szCs w:val="22"/>
          <w:lang w:eastAsia="en-GB"/>
        </w:rPr>
      </w:pPr>
    </w:p>
    <w:p w14:paraId="0AC79748" w14:textId="77777777" w:rsidR="00434BBC" w:rsidRPr="00B66656" w:rsidRDefault="00434BBC" w:rsidP="00434BBC">
      <w:pPr>
        <w:rPr>
          <w:rFonts w:ascii="Arial" w:hAnsi="Arial" w:cs="Arial"/>
          <w:bCs/>
          <w:szCs w:val="22"/>
          <w:u w:val="single"/>
          <w:lang w:eastAsia="en-GB"/>
        </w:rPr>
      </w:pPr>
      <w:r w:rsidRPr="00B66656">
        <w:rPr>
          <w:rFonts w:ascii="Arial" w:hAnsi="Arial" w:cs="Arial"/>
          <w:bCs/>
          <w:szCs w:val="22"/>
          <w:u w:val="single"/>
          <w:lang w:eastAsia="en-GB"/>
        </w:rPr>
        <w:t>Accelerated construction</w:t>
      </w:r>
    </w:p>
    <w:p w14:paraId="26035DBB" w14:textId="77777777" w:rsidR="00434BBC" w:rsidRPr="00C03C94" w:rsidRDefault="00434BBC" w:rsidP="00434BBC">
      <w:pPr>
        <w:rPr>
          <w:rFonts w:ascii="Arial" w:hAnsi="Arial" w:cs="Arial"/>
          <w:b/>
          <w:u w:val="single"/>
          <w:lang w:eastAsia="en-GB"/>
        </w:rPr>
      </w:pPr>
    </w:p>
    <w:p w14:paraId="6A2F87BA" w14:textId="77777777" w:rsidR="00434BBC" w:rsidRPr="00C03C94" w:rsidRDefault="00434BBC" w:rsidP="00434BBC">
      <w:pPr>
        <w:rPr>
          <w:rFonts w:ascii="Arial" w:hAnsi="Arial" w:cs="Arial"/>
          <w:b/>
          <w:bCs/>
          <w:szCs w:val="22"/>
          <w:lang w:eastAsia="en-GB"/>
        </w:rPr>
      </w:pPr>
      <w:r w:rsidRPr="00C03C94">
        <w:rPr>
          <w:rFonts w:ascii="Arial" w:hAnsi="Arial" w:cs="Arial"/>
          <w:b/>
          <w:bCs/>
          <w:szCs w:val="22"/>
          <w:lang w:eastAsia="en-GB"/>
        </w:rPr>
        <w:t>The Chancellor reconfirmed:</w:t>
      </w:r>
    </w:p>
    <w:p w14:paraId="3C76DEA3" w14:textId="77777777" w:rsidR="00434BBC" w:rsidRPr="00C03C94" w:rsidRDefault="00434BBC" w:rsidP="00434BBC">
      <w:pPr>
        <w:rPr>
          <w:rFonts w:ascii="Arial" w:hAnsi="Arial" w:cs="Arial"/>
          <w:b/>
          <w:lang w:eastAsia="en-GB"/>
        </w:rPr>
      </w:pPr>
    </w:p>
    <w:p w14:paraId="3747D48E" w14:textId="77777777" w:rsidR="00434BBC" w:rsidRPr="00C03C94" w:rsidRDefault="00434BBC" w:rsidP="00434BBC">
      <w:pPr>
        <w:pStyle w:val="ListParagraph"/>
        <w:numPr>
          <w:ilvl w:val="0"/>
          <w:numId w:val="15"/>
        </w:numPr>
        <w:jc w:val="both"/>
        <w:rPr>
          <w:rFonts w:ascii="Arial" w:hAnsi="Arial" w:cs="Arial"/>
        </w:rPr>
      </w:pPr>
      <w:r w:rsidRPr="00C03C94">
        <w:rPr>
          <w:rFonts w:ascii="Arial" w:hAnsi="Arial" w:cs="Arial"/>
        </w:rPr>
        <w:t>The Government will pilot accelerated construction on public sector land backed by up to £2 billion (</w:t>
      </w:r>
      <w:r w:rsidRPr="00C03C94">
        <w:rPr>
          <w:rFonts w:ascii="Arial" w:hAnsi="Arial" w:cs="Arial"/>
          <w:i/>
        </w:rPr>
        <w:t>Page 27, paragraph 3.12).</w:t>
      </w:r>
    </w:p>
    <w:p w14:paraId="59B20E0C" w14:textId="77777777" w:rsidR="00434BBC" w:rsidRPr="00C03C94" w:rsidRDefault="00434BBC" w:rsidP="00434BBC">
      <w:pPr>
        <w:rPr>
          <w:rFonts w:ascii="Arial" w:hAnsi="Arial" w:cs="Arial"/>
          <w:b/>
          <w:lang w:eastAsia="en-GB"/>
        </w:rPr>
      </w:pPr>
    </w:p>
    <w:p w14:paraId="1ED1C09F" w14:textId="77777777" w:rsidR="00434BBC" w:rsidRPr="00C03C94" w:rsidRDefault="00434BBC" w:rsidP="00434BBC">
      <w:pPr>
        <w:rPr>
          <w:rFonts w:ascii="Arial" w:hAnsi="Arial" w:cs="Arial"/>
          <w:b/>
          <w:bCs/>
          <w:szCs w:val="22"/>
          <w:lang w:eastAsia="en-GB"/>
        </w:rPr>
      </w:pPr>
      <w:r w:rsidRPr="00C03C94">
        <w:rPr>
          <w:rFonts w:ascii="Arial" w:hAnsi="Arial" w:cs="Arial"/>
          <w:b/>
          <w:bCs/>
          <w:szCs w:val="22"/>
          <w:lang w:eastAsia="en-GB"/>
        </w:rPr>
        <w:t>LGA view:</w:t>
      </w:r>
    </w:p>
    <w:p w14:paraId="6FD75A91" w14:textId="77777777" w:rsidR="00434BBC" w:rsidRPr="00C03C94" w:rsidRDefault="00434BBC" w:rsidP="00434BBC">
      <w:pPr>
        <w:rPr>
          <w:rFonts w:ascii="Arial" w:hAnsi="Arial" w:cs="Arial"/>
          <w:b/>
          <w:lang w:eastAsia="en-GB"/>
        </w:rPr>
      </w:pPr>
    </w:p>
    <w:p w14:paraId="33BA5F78" w14:textId="77777777" w:rsidR="00434BBC" w:rsidRDefault="00434BBC" w:rsidP="00434BBC">
      <w:pPr>
        <w:pStyle w:val="ListParagraph"/>
        <w:numPr>
          <w:ilvl w:val="0"/>
          <w:numId w:val="15"/>
        </w:numPr>
        <w:jc w:val="both"/>
        <w:rPr>
          <w:rFonts w:ascii="Arial" w:hAnsi="Arial" w:cs="Arial"/>
        </w:rPr>
      </w:pPr>
      <w:r w:rsidRPr="00C03C94">
        <w:rPr>
          <w:rFonts w:ascii="Arial" w:hAnsi="Arial" w:cs="Arial"/>
        </w:rPr>
        <w:t>Local government is committed to releasing land effectively and bringing together local partners to bring forward land for development. We will work with the Government to invest in more building on public sector land, for instance through our One Public Estate programme.</w:t>
      </w:r>
    </w:p>
    <w:p w14:paraId="08B6D2C7" w14:textId="77777777" w:rsidR="005D2F12" w:rsidRPr="00C03C94" w:rsidRDefault="005D2F12" w:rsidP="005D2F12">
      <w:pPr>
        <w:pStyle w:val="ListParagraph"/>
        <w:jc w:val="both"/>
        <w:rPr>
          <w:rFonts w:ascii="Arial" w:hAnsi="Arial" w:cs="Arial"/>
        </w:rPr>
      </w:pPr>
    </w:p>
    <w:p w14:paraId="0FED3C90" w14:textId="77777777" w:rsidR="00434BBC" w:rsidRPr="00C03C94" w:rsidRDefault="00434BBC" w:rsidP="00434BBC">
      <w:pPr>
        <w:pStyle w:val="ListParagraph"/>
        <w:numPr>
          <w:ilvl w:val="0"/>
          <w:numId w:val="15"/>
        </w:numPr>
        <w:jc w:val="both"/>
        <w:rPr>
          <w:rFonts w:ascii="Arial" w:hAnsi="Arial" w:cs="Arial"/>
        </w:rPr>
      </w:pPr>
      <w:r w:rsidRPr="00C03C94">
        <w:rPr>
          <w:rFonts w:ascii="Arial" w:hAnsi="Arial" w:cs="Arial"/>
        </w:rPr>
        <w:t>We would urge the Government to ensure that all parts of the public sector are encouraged and incentivised to engage fully.</w:t>
      </w:r>
    </w:p>
    <w:p w14:paraId="1B391C1C" w14:textId="77777777" w:rsidR="00434BBC" w:rsidRPr="00C03C94" w:rsidRDefault="00434BBC" w:rsidP="00434BBC">
      <w:pPr>
        <w:rPr>
          <w:rFonts w:ascii="Arial" w:hAnsi="Arial" w:cs="Arial"/>
          <w:b/>
          <w:bCs/>
          <w:szCs w:val="22"/>
          <w:lang w:eastAsia="en-GB"/>
        </w:rPr>
      </w:pPr>
    </w:p>
    <w:p w14:paraId="78F80FB2" w14:textId="77777777" w:rsidR="00434BBC" w:rsidRPr="00B66656" w:rsidRDefault="00434BBC" w:rsidP="00434BBC">
      <w:pPr>
        <w:rPr>
          <w:rFonts w:ascii="Arial" w:hAnsi="Arial" w:cs="Arial"/>
          <w:bCs/>
          <w:szCs w:val="22"/>
          <w:u w:val="single"/>
          <w:lang w:eastAsia="en-GB"/>
        </w:rPr>
      </w:pPr>
      <w:r w:rsidRPr="00B66656">
        <w:rPr>
          <w:rFonts w:ascii="Arial" w:hAnsi="Arial" w:cs="Arial"/>
          <w:bCs/>
          <w:szCs w:val="22"/>
          <w:u w:val="single"/>
          <w:lang w:eastAsia="en-GB"/>
        </w:rPr>
        <w:t>Pay to Stay</w:t>
      </w:r>
    </w:p>
    <w:p w14:paraId="5F7F2256" w14:textId="77777777" w:rsidR="00434BBC" w:rsidRPr="00C03C94" w:rsidRDefault="00434BBC" w:rsidP="00434BBC">
      <w:pPr>
        <w:rPr>
          <w:rFonts w:ascii="Arial" w:hAnsi="Arial" w:cs="Arial"/>
          <w:b/>
          <w:u w:val="single"/>
          <w:lang w:eastAsia="en-GB"/>
        </w:rPr>
      </w:pPr>
    </w:p>
    <w:p w14:paraId="2B55350E" w14:textId="77777777" w:rsidR="00434BBC" w:rsidRPr="00C03C94" w:rsidRDefault="00434BBC" w:rsidP="00434BBC">
      <w:pPr>
        <w:rPr>
          <w:rFonts w:ascii="Arial" w:hAnsi="Arial" w:cs="Arial"/>
          <w:b/>
          <w:bCs/>
          <w:szCs w:val="22"/>
          <w:lang w:eastAsia="en-GB"/>
        </w:rPr>
      </w:pPr>
      <w:r w:rsidRPr="00C03C94">
        <w:rPr>
          <w:rFonts w:ascii="Arial" w:hAnsi="Arial" w:cs="Arial"/>
          <w:b/>
          <w:bCs/>
          <w:szCs w:val="22"/>
          <w:lang w:eastAsia="en-GB"/>
        </w:rPr>
        <w:t>The Chancellor confirmed:</w:t>
      </w:r>
    </w:p>
    <w:p w14:paraId="7EE11E91" w14:textId="77777777" w:rsidR="00434BBC" w:rsidRPr="00C03C94" w:rsidRDefault="00434BBC" w:rsidP="00434BBC">
      <w:pPr>
        <w:rPr>
          <w:rFonts w:ascii="Arial" w:hAnsi="Arial" w:cs="Arial"/>
          <w:lang w:eastAsia="en-GB"/>
        </w:rPr>
      </w:pPr>
    </w:p>
    <w:p w14:paraId="1D5EA1A1" w14:textId="77777777" w:rsidR="00434BBC" w:rsidRPr="00C03C94" w:rsidRDefault="00434BBC" w:rsidP="00434BBC">
      <w:pPr>
        <w:pStyle w:val="ListParagraph"/>
        <w:numPr>
          <w:ilvl w:val="0"/>
          <w:numId w:val="15"/>
        </w:numPr>
        <w:jc w:val="both"/>
        <w:rPr>
          <w:rFonts w:ascii="Arial" w:hAnsi="Arial" w:cs="Arial"/>
          <w:lang w:eastAsia="en-GB"/>
        </w:rPr>
      </w:pPr>
      <w:r w:rsidRPr="00C03C94">
        <w:rPr>
          <w:rFonts w:ascii="Arial" w:hAnsi="Arial" w:cs="Arial"/>
        </w:rPr>
        <w:t xml:space="preserve">The Pay to Stay scheme would be voluntary for councils, rather than mandatory </w:t>
      </w:r>
      <w:r w:rsidRPr="00C03C94">
        <w:rPr>
          <w:rFonts w:ascii="Arial" w:hAnsi="Arial" w:cs="Arial"/>
          <w:i/>
        </w:rPr>
        <w:t>(Page 44, paragraph 5.7).</w:t>
      </w:r>
    </w:p>
    <w:p w14:paraId="526B6831" w14:textId="77777777" w:rsidR="00434BBC" w:rsidRPr="00C03C94" w:rsidRDefault="00434BBC" w:rsidP="00434BBC">
      <w:pPr>
        <w:rPr>
          <w:rFonts w:ascii="Arial" w:hAnsi="Arial" w:cs="Arial"/>
          <w:lang w:eastAsia="en-GB"/>
        </w:rPr>
      </w:pPr>
    </w:p>
    <w:p w14:paraId="7D88FD4F" w14:textId="77777777" w:rsidR="00434BBC" w:rsidRPr="00C03C94" w:rsidRDefault="00434BBC" w:rsidP="00434BBC">
      <w:pPr>
        <w:rPr>
          <w:rFonts w:ascii="Arial" w:hAnsi="Arial" w:cs="Arial"/>
          <w:b/>
          <w:bCs/>
          <w:szCs w:val="22"/>
          <w:lang w:eastAsia="en-GB"/>
        </w:rPr>
      </w:pPr>
      <w:r w:rsidRPr="00C03C94">
        <w:rPr>
          <w:rFonts w:ascii="Arial" w:hAnsi="Arial" w:cs="Arial"/>
          <w:b/>
          <w:bCs/>
          <w:szCs w:val="22"/>
          <w:lang w:eastAsia="en-GB"/>
        </w:rPr>
        <w:t>LGA view:</w:t>
      </w:r>
    </w:p>
    <w:p w14:paraId="0B6AB3EB" w14:textId="77777777" w:rsidR="00434BBC" w:rsidRPr="00C03C94" w:rsidRDefault="00434BBC" w:rsidP="00434BBC">
      <w:pPr>
        <w:rPr>
          <w:rFonts w:ascii="Arial" w:hAnsi="Arial" w:cs="Arial"/>
          <w:lang w:eastAsia="en-GB"/>
        </w:rPr>
      </w:pPr>
    </w:p>
    <w:p w14:paraId="1784E75C" w14:textId="77777777" w:rsidR="00434BBC" w:rsidRPr="00C03C94" w:rsidRDefault="00434BBC" w:rsidP="00434BBC">
      <w:pPr>
        <w:pStyle w:val="ListParagraph"/>
        <w:numPr>
          <w:ilvl w:val="0"/>
          <w:numId w:val="15"/>
        </w:numPr>
        <w:jc w:val="both"/>
        <w:rPr>
          <w:rFonts w:ascii="Arial" w:hAnsi="Arial" w:cs="Arial"/>
        </w:rPr>
      </w:pPr>
      <w:r w:rsidRPr="00C03C94">
        <w:rPr>
          <w:rFonts w:ascii="Arial" w:hAnsi="Arial" w:cs="Arial"/>
        </w:rPr>
        <w:t xml:space="preserve">The LGA is pleased that the Minister of State for Housing and Planning, Gavin Barwell MP and the Chancellor of the Exchequer, Philip Hammond MP, have accepted our call for Pay to Stay to be voluntary for councils. Local government has been working hard with the Government to make sure it was aware of the difficult, lengthy and costly process in seeking to implement the policy. </w:t>
      </w:r>
    </w:p>
    <w:p w14:paraId="60AC759C" w14:textId="77777777" w:rsidR="00434BBC" w:rsidRPr="00C03C94" w:rsidRDefault="00434BBC" w:rsidP="00434BBC">
      <w:pPr>
        <w:ind w:firstLine="135"/>
        <w:jc w:val="both"/>
        <w:rPr>
          <w:rFonts w:ascii="Arial" w:hAnsi="Arial" w:cs="Arial"/>
        </w:rPr>
      </w:pPr>
    </w:p>
    <w:p w14:paraId="5328BC8F" w14:textId="77777777" w:rsidR="00434BBC" w:rsidRPr="00C03C94" w:rsidRDefault="00434BBC" w:rsidP="00434BBC">
      <w:pPr>
        <w:pStyle w:val="ListParagraph"/>
        <w:numPr>
          <w:ilvl w:val="0"/>
          <w:numId w:val="15"/>
        </w:numPr>
        <w:jc w:val="both"/>
        <w:rPr>
          <w:rFonts w:ascii="Arial" w:hAnsi="Arial" w:cs="Arial"/>
        </w:rPr>
      </w:pPr>
      <w:r w:rsidRPr="00C03C94">
        <w:rPr>
          <w:rFonts w:ascii="Arial" w:hAnsi="Arial" w:cs="Arial"/>
        </w:rPr>
        <w:t>Making Pay to Stay mandatory would have affected thousands of social housing tenants across the country, with the average affected households seeing their rents rise by £1,065 a year. Councils would have needed to invest millions in new IT systems, hire new staff and write to over a million social housing tenants to try and understand household income and approve individual tenant bills.</w:t>
      </w:r>
    </w:p>
    <w:p w14:paraId="5CD6A073" w14:textId="77777777" w:rsidR="00434BBC" w:rsidRPr="00C03C94" w:rsidRDefault="00434BBC" w:rsidP="00434BBC">
      <w:pPr>
        <w:rPr>
          <w:rFonts w:ascii="Arial" w:hAnsi="Arial" w:cs="Arial"/>
          <w:b/>
          <w:bCs/>
          <w:szCs w:val="22"/>
          <w:lang w:eastAsia="en-GB"/>
        </w:rPr>
      </w:pPr>
    </w:p>
    <w:p w14:paraId="30D64833" w14:textId="77777777" w:rsidR="00434BBC" w:rsidRPr="00B66656" w:rsidRDefault="00434BBC" w:rsidP="00434BBC">
      <w:pPr>
        <w:rPr>
          <w:rFonts w:ascii="Arial" w:hAnsi="Arial" w:cs="Arial"/>
          <w:bCs/>
          <w:szCs w:val="22"/>
          <w:u w:val="single"/>
          <w:lang w:eastAsia="en-GB"/>
        </w:rPr>
      </w:pPr>
      <w:r w:rsidRPr="00B66656">
        <w:rPr>
          <w:rFonts w:ascii="Arial" w:hAnsi="Arial" w:cs="Arial"/>
          <w:bCs/>
          <w:szCs w:val="22"/>
          <w:u w:val="single"/>
          <w:lang w:eastAsia="en-GB"/>
        </w:rPr>
        <w:t>Social rent down-rating</w:t>
      </w:r>
    </w:p>
    <w:p w14:paraId="279CA000" w14:textId="77777777" w:rsidR="00434BBC" w:rsidRPr="00C03C94" w:rsidRDefault="00434BBC" w:rsidP="00434BBC">
      <w:pPr>
        <w:rPr>
          <w:rFonts w:ascii="Arial" w:hAnsi="Arial" w:cs="Arial"/>
          <w:bCs/>
          <w:szCs w:val="22"/>
          <w:u w:val="single"/>
          <w:lang w:eastAsia="en-GB"/>
        </w:rPr>
      </w:pPr>
    </w:p>
    <w:p w14:paraId="3EB2E0D0" w14:textId="77777777" w:rsidR="00434BBC" w:rsidRPr="00C03C94" w:rsidRDefault="00434BBC" w:rsidP="00434BBC">
      <w:pPr>
        <w:rPr>
          <w:rFonts w:ascii="Arial" w:hAnsi="Arial" w:cs="Arial"/>
          <w:b/>
          <w:bCs/>
          <w:szCs w:val="22"/>
          <w:lang w:eastAsia="en-GB"/>
        </w:rPr>
      </w:pPr>
      <w:r w:rsidRPr="00C03C94">
        <w:rPr>
          <w:rFonts w:ascii="Arial" w:hAnsi="Arial" w:cs="Arial"/>
          <w:b/>
          <w:bCs/>
          <w:szCs w:val="22"/>
          <w:lang w:eastAsia="en-GB"/>
        </w:rPr>
        <w:t>The Chancellor confirmed:</w:t>
      </w:r>
    </w:p>
    <w:p w14:paraId="6F6769F8" w14:textId="77777777" w:rsidR="00434BBC" w:rsidRPr="00C03C94" w:rsidRDefault="00434BBC" w:rsidP="00434BBC">
      <w:pPr>
        <w:rPr>
          <w:rFonts w:ascii="Arial" w:hAnsi="Arial" w:cs="Arial"/>
          <w:bCs/>
          <w:szCs w:val="22"/>
          <w:lang w:eastAsia="en-GB"/>
        </w:rPr>
      </w:pPr>
    </w:p>
    <w:p w14:paraId="6D594A33" w14:textId="7C667645" w:rsidR="00434BBC" w:rsidRPr="00C03C94" w:rsidRDefault="00F77A12" w:rsidP="00434BBC">
      <w:pPr>
        <w:pStyle w:val="NoSpacing"/>
        <w:numPr>
          <w:ilvl w:val="0"/>
          <w:numId w:val="16"/>
        </w:numPr>
        <w:jc w:val="both"/>
        <w:rPr>
          <w:rFonts w:ascii="Arial" w:hAnsi="Arial" w:cs="Arial"/>
          <w:sz w:val="22"/>
          <w:szCs w:val="22"/>
        </w:rPr>
      </w:pPr>
      <w:r>
        <w:rPr>
          <w:rFonts w:ascii="Arial" w:hAnsi="Arial" w:cs="Arial"/>
          <w:sz w:val="22"/>
          <w:szCs w:val="22"/>
        </w:rPr>
        <w:t>Refuges, alms-houses, c</w:t>
      </w:r>
      <w:r w:rsidR="00434BBC" w:rsidRPr="00C03C94">
        <w:rPr>
          <w:rFonts w:ascii="Arial" w:hAnsi="Arial" w:cs="Arial"/>
          <w:sz w:val="22"/>
          <w:szCs w:val="22"/>
        </w:rPr>
        <w:t xml:space="preserve">ommunity </w:t>
      </w:r>
      <w:r>
        <w:rPr>
          <w:rFonts w:ascii="Arial" w:hAnsi="Arial" w:cs="Arial"/>
          <w:sz w:val="22"/>
          <w:szCs w:val="22"/>
        </w:rPr>
        <w:t>l</w:t>
      </w:r>
      <w:r w:rsidR="00434BBC" w:rsidRPr="00C03C94">
        <w:rPr>
          <w:rFonts w:ascii="Arial" w:hAnsi="Arial" w:cs="Arial"/>
          <w:sz w:val="22"/>
          <w:szCs w:val="22"/>
        </w:rPr>
        <w:t xml:space="preserve">and </w:t>
      </w:r>
      <w:r>
        <w:rPr>
          <w:rFonts w:ascii="Arial" w:hAnsi="Arial" w:cs="Arial"/>
          <w:sz w:val="22"/>
          <w:szCs w:val="22"/>
        </w:rPr>
        <w:t>t</w:t>
      </w:r>
      <w:r w:rsidR="00434BBC" w:rsidRPr="00C03C94">
        <w:rPr>
          <w:rFonts w:ascii="Arial" w:hAnsi="Arial" w:cs="Arial"/>
          <w:sz w:val="22"/>
          <w:szCs w:val="22"/>
        </w:rPr>
        <w:t xml:space="preserve">rusts and co-operatives will be exempt from the reduction of social rents by 1 per cent a year for four years from 2016/17 </w:t>
      </w:r>
      <w:r w:rsidR="00434BBC" w:rsidRPr="00C03C94">
        <w:rPr>
          <w:rFonts w:ascii="Arial" w:hAnsi="Arial" w:cs="Arial"/>
          <w:i/>
          <w:sz w:val="22"/>
          <w:szCs w:val="22"/>
        </w:rPr>
        <w:t>(Page 44, paragraph 5.5).</w:t>
      </w:r>
    </w:p>
    <w:p w14:paraId="15807127" w14:textId="77777777" w:rsidR="00434BBC" w:rsidRPr="00C03C94" w:rsidRDefault="00434BBC" w:rsidP="00434BBC">
      <w:pPr>
        <w:pStyle w:val="NoSpacing"/>
        <w:rPr>
          <w:rFonts w:ascii="Arial" w:hAnsi="Arial" w:cs="Arial"/>
          <w:i/>
          <w:sz w:val="22"/>
          <w:szCs w:val="22"/>
        </w:rPr>
      </w:pPr>
    </w:p>
    <w:p w14:paraId="7B81AAEC" w14:textId="77777777" w:rsidR="00434BBC" w:rsidRPr="00C03C94" w:rsidRDefault="00434BBC" w:rsidP="00434BBC">
      <w:pPr>
        <w:pStyle w:val="NoSpacing"/>
        <w:rPr>
          <w:rFonts w:ascii="Arial" w:hAnsi="Arial" w:cs="Arial"/>
          <w:b/>
          <w:sz w:val="22"/>
          <w:szCs w:val="22"/>
        </w:rPr>
      </w:pPr>
      <w:r w:rsidRPr="00C03C94">
        <w:rPr>
          <w:rFonts w:ascii="Arial" w:hAnsi="Arial" w:cs="Arial"/>
          <w:b/>
          <w:sz w:val="22"/>
          <w:szCs w:val="22"/>
        </w:rPr>
        <w:t>LGA view:</w:t>
      </w:r>
    </w:p>
    <w:p w14:paraId="3887240F" w14:textId="77777777" w:rsidR="00434BBC" w:rsidRPr="00C03C94" w:rsidRDefault="00434BBC" w:rsidP="00434BBC">
      <w:pPr>
        <w:pStyle w:val="NoSpacing"/>
        <w:rPr>
          <w:rFonts w:ascii="Arial" w:hAnsi="Arial" w:cs="Arial"/>
          <w:sz w:val="22"/>
          <w:szCs w:val="22"/>
        </w:rPr>
      </w:pPr>
    </w:p>
    <w:p w14:paraId="337F24E6" w14:textId="77777777" w:rsidR="00434BBC" w:rsidRPr="00C03C94" w:rsidRDefault="00434BBC" w:rsidP="00434BBC">
      <w:pPr>
        <w:pStyle w:val="ListParagraph"/>
        <w:numPr>
          <w:ilvl w:val="0"/>
          <w:numId w:val="16"/>
        </w:numPr>
        <w:jc w:val="both"/>
        <w:rPr>
          <w:rFonts w:ascii="Arial" w:hAnsi="Arial" w:cs="Arial"/>
          <w:szCs w:val="22"/>
          <w:lang w:eastAsia="en-GB"/>
        </w:rPr>
      </w:pPr>
      <w:r w:rsidRPr="00C03C94">
        <w:rPr>
          <w:rFonts w:ascii="Arial" w:hAnsi="Arial" w:cs="Arial"/>
          <w:szCs w:val="22"/>
          <w:lang w:eastAsia="en-GB"/>
        </w:rPr>
        <w:t xml:space="preserve">Councils should have flexibilities to decide how they set their rents. The move to provide certainty for exempting certain specialised housing from the social rent cut is welcome. We will work with the Government and councils to explore how this certainty of income from future rents can help enable councils to build more homes now, including linking to wider flexibilities to replace homes sold through Right to Buy. </w:t>
      </w:r>
    </w:p>
    <w:p w14:paraId="2FB7500A" w14:textId="77777777" w:rsidR="00434BBC" w:rsidRPr="00C03C94" w:rsidRDefault="00434BBC" w:rsidP="00434BBC">
      <w:pPr>
        <w:pStyle w:val="NoSpacing"/>
        <w:rPr>
          <w:rFonts w:ascii="Arial" w:hAnsi="Arial" w:cs="Arial"/>
          <w:sz w:val="22"/>
          <w:szCs w:val="22"/>
        </w:rPr>
      </w:pPr>
    </w:p>
    <w:p w14:paraId="26866A39" w14:textId="77777777" w:rsidR="00434BBC" w:rsidRPr="00B66656" w:rsidRDefault="00434BBC" w:rsidP="00434BBC">
      <w:pPr>
        <w:pStyle w:val="NoSpacing"/>
        <w:rPr>
          <w:rFonts w:ascii="Arial" w:hAnsi="Arial" w:cs="Arial"/>
          <w:sz w:val="22"/>
          <w:szCs w:val="22"/>
          <w:u w:val="single"/>
        </w:rPr>
      </w:pPr>
      <w:r w:rsidRPr="00B66656">
        <w:rPr>
          <w:rFonts w:ascii="Arial" w:hAnsi="Arial" w:cs="Arial"/>
          <w:sz w:val="22"/>
          <w:szCs w:val="22"/>
          <w:u w:val="single"/>
        </w:rPr>
        <w:t>Letting agent fees</w:t>
      </w:r>
    </w:p>
    <w:p w14:paraId="0DA5D757" w14:textId="77777777" w:rsidR="00434BBC" w:rsidRPr="00C03C94" w:rsidRDefault="00434BBC" w:rsidP="00434BBC">
      <w:pPr>
        <w:pStyle w:val="NoSpacing"/>
        <w:rPr>
          <w:rFonts w:ascii="Arial" w:hAnsi="Arial" w:cs="Arial"/>
          <w:sz w:val="22"/>
          <w:szCs w:val="22"/>
          <w:u w:val="single"/>
        </w:rPr>
      </w:pPr>
    </w:p>
    <w:p w14:paraId="2E42D4C9" w14:textId="77777777" w:rsidR="00434BBC" w:rsidRPr="00C03C94" w:rsidRDefault="00434BBC" w:rsidP="00434BBC">
      <w:pPr>
        <w:pStyle w:val="NoSpacing"/>
        <w:rPr>
          <w:rFonts w:ascii="Arial" w:hAnsi="Arial" w:cs="Arial"/>
          <w:b/>
          <w:sz w:val="22"/>
          <w:szCs w:val="22"/>
        </w:rPr>
      </w:pPr>
      <w:r w:rsidRPr="00C03C94">
        <w:rPr>
          <w:rFonts w:ascii="Arial" w:hAnsi="Arial" w:cs="Arial"/>
          <w:b/>
          <w:sz w:val="22"/>
          <w:szCs w:val="22"/>
        </w:rPr>
        <w:t>The Chancellor confirmed:</w:t>
      </w:r>
    </w:p>
    <w:p w14:paraId="54E9F4FD" w14:textId="77777777" w:rsidR="00434BBC" w:rsidRPr="00C03C94" w:rsidRDefault="00434BBC" w:rsidP="00434BBC">
      <w:pPr>
        <w:pStyle w:val="NoSpacing"/>
        <w:rPr>
          <w:rFonts w:ascii="Arial" w:hAnsi="Arial" w:cs="Arial"/>
          <w:sz w:val="22"/>
          <w:szCs w:val="22"/>
        </w:rPr>
      </w:pPr>
    </w:p>
    <w:p w14:paraId="2E68832D" w14:textId="77777777" w:rsidR="00434BBC" w:rsidRPr="00C03C94" w:rsidRDefault="00434BBC" w:rsidP="00434BBC">
      <w:pPr>
        <w:pStyle w:val="NoSpacing"/>
        <w:numPr>
          <w:ilvl w:val="0"/>
          <w:numId w:val="16"/>
        </w:numPr>
        <w:jc w:val="both"/>
        <w:rPr>
          <w:rFonts w:ascii="Arial" w:hAnsi="Arial" w:cs="Arial"/>
          <w:i/>
          <w:sz w:val="22"/>
          <w:szCs w:val="22"/>
        </w:rPr>
      </w:pPr>
      <w:r w:rsidRPr="00C03C94">
        <w:rPr>
          <w:rFonts w:ascii="Arial" w:hAnsi="Arial" w:cs="Arial"/>
          <w:sz w:val="22"/>
          <w:szCs w:val="22"/>
        </w:rPr>
        <w:t xml:space="preserve">The Government will ban letting fees for tenants, and will consult before bringing in legislation </w:t>
      </w:r>
      <w:r w:rsidRPr="00C03C94">
        <w:rPr>
          <w:rFonts w:ascii="Arial" w:hAnsi="Arial" w:cs="Arial"/>
          <w:i/>
          <w:sz w:val="22"/>
          <w:szCs w:val="22"/>
        </w:rPr>
        <w:t>(Page 31, paragraph 3.41).</w:t>
      </w:r>
    </w:p>
    <w:p w14:paraId="7A7D1316" w14:textId="77777777" w:rsidR="00434BBC" w:rsidRPr="00C03C94" w:rsidRDefault="00434BBC" w:rsidP="00434BBC">
      <w:pPr>
        <w:spacing w:line="240" w:lineRule="auto"/>
        <w:jc w:val="both"/>
        <w:rPr>
          <w:rFonts w:ascii="Arial" w:eastAsia="Arial" w:hAnsi="Arial" w:cs="Arial"/>
          <w:b/>
          <w:u w:val="single"/>
        </w:rPr>
      </w:pPr>
    </w:p>
    <w:p w14:paraId="2B52269C" w14:textId="77777777" w:rsidR="00434BBC" w:rsidRPr="00C03C94" w:rsidRDefault="00434BBC" w:rsidP="00434BBC">
      <w:pPr>
        <w:spacing w:line="240" w:lineRule="auto"/>
        <w:jc w:val="both"/>
        <w:rPr>
          <w:rFonts w:ascii="Arial" w:eastAsia="Arial" w:hAnsi="Arial" w:cs="Arial"/>
          <w:b/>
          <w:szCs w:val="22"/>
        </w:rPr>
      </w:pPr>
      <w:r w:rsidRPr="00C03C94">
        <w:rPr>
          <w:rFonts w:ascii="Arial" w:eastAsia="Arial" w:hAnsi="Arial" w:cs="Arial"/>
          <w:b/>
          <w:szCs w:val="22"/>
        </w:rPr>
        <w:t>LGA view:</w:t>
      </w:r>
    </w:p>
    <w:p w14:paraId="099FECA4" w14:textId="77777777" w:rsidR="00434BBC" w:rsidRPr="00C03C94" w:rsidRDefault="00434BBC" w:rsidP="00434BBC">
      <w:pPr>
        <w:spacing w:line="240" w:lineRule="auto"/>
        <w:jc w:val="both"/>
        <w:rPr>
          <w:rFonts w:ascii="Arial" w:eastAsia="Arial" w:hAnsi="Arial" w:cs="Arial"/>
        </w:rPr>
      </w:pPr>
    </w:p>
    <w:p w14:paraId="57460B5F" w14:textId="77777777" w:rsidR="00434BBC" w:rsidRPr="00C03C94" w:rsidRDefault="00434BBC" w:rsidP="00434BBC">
      <w:pPr>
        <w:pStyle w:val="ListParagraph"/>
        <w:numPr>
          <w:ilvl w:val="0"/>
          <w:numId w:val="16"/>
        </w:numPr>
        <w:jc w:val="both"/>
        <w:rPr>
          <w:rFonts w:ascii="Arial" w:hAnsi="Arial" w:cs="Arial"/>
        </w:rPr>
      </w:pPr>
      <w:r w:rsidRPr="00C03C94">
        <w:rPr>
          <w:rFonts w:ascii="Arial" w:hAnsi="Arial" w:cs="Arial"/>
        </w:rPr>
        <w:t>Excessive letting agent fees are a concern for many tenants and councils, hampering access to the market which in turn places pressure on housing of other tenures including social housing. The proposed ban on letting agent fees for tenants will bring welcome clarity and direction to a sector that has a powerful influence on the cost of renting. The consumer protection role for councils on letting agents has already expanded to include enforcement of compliance with redress schemes and transparency of fees. The enforcement of the ban on fees for tenants will need to be properly thought through and resourced.</w:t>
      </w:r>
    </w:p>
    <w:p w14:paraId="352F1367" w14:textId="77777777" w:rsidR="00434BBC" w:rsidRPr="00C03C94" w:rsidRDefault="00434BBC" w:rsidP="00434BBC">
      <w:pPr>
        <w:jc w:val="both"/>
        <w:rPr>
          <w:rFonts w:ascii="Arial" w:hAnsi="Arial" w:cs="Arial"/>
        </w:rPr>
      </w:pPr>
    </w:p>
    <w:p w14:paraId="6A0832BA" w14:textId="45264893" w:rsidR="00434BBC" w:rsidRPr="00C03C94" w:rsidRDefault="00F77A12" w:rsidP="00434BBC">
      <w:pPr>
        <w:pStyle w:val="ListParagraph"/>
        <w:numPr>
          <w:ilvl w:val="0"/>
          <w:numId w:val="16"/>
        </w:numPr>
        <w:spacing w:line="240" w:lineRule="auto"/>
        <w:jc w:val="both"/>
        <w:rPr>
          <w:rFonts w:ascii="Arial" w:eastAsia="Arial" w:hAnsi="Arial" w:cs="Arial"/>
        </w:rPr>
      </w:pPr>
      <w:r>
        <w:rPr>
          <w:rFonts w:ascii="Arial" w:hAnsi="Arial" w:cs="Arial"/>
        </w:rPr>
        <w:t>We share the G</w:t>
      </w:r>
      <w:r w:rsidR="00434BBC" w:rsidRPr="00C03C94">
        <w:rPr>
          <w:rFonts w:ascii="Arial" w:hAnsi="Arial" w:cs="Arial"/>
        </w:rPr>
        <w:t>overnment’s concern about the lack of clarity for private tenants. The current legal and regulatory system is out of date and requires reform to match the pace of the reality of the current private rented housing market. The sheer volume and complexity of regulations governing the sector can be confusing for landlords, tenants and councils. The Government should review and modernise the framework to support councils’ ability to meet the expectations of their residents.</w:t>
      </w:r>
    </w:p>
    <w:p w14:paraId="578F0161" w14:textId="77777777" w:rsidR="00434BBC" w:rsidRPr="00C03C94" w:rsidRDefault="00434BBC" w:rsidP="00434BBC">
      <w:pPr>
        <w:rPr>
          <w:rFonts w:ascii="Arial" w:hAnsi="Arial" w:cs="Arial"/>
          <w:b/>
          <w:u w:val="single"/>
        </w:rPr>
      </w:pPr>
    </w:p>
    <w:p w14:paraId="2434D117" w14:textId="387E0823" w:rsidR="00434BBC" w:rsidRPr="00EB7712" w:rsidRDefault="00F77A12" w:rsidP="00434BBC">
      <w:pPr>
        <w:rPr>
          <w:rFonts w:ascii="Arial" w:hAnsi="Arial" w:cs="Arial"/>
          <w:u w:val="single"/>
        </w:rPr>
      </w:pPr>
      <w:r>
        <w:rPr>
          <w:rFonts w:ascii="Arial" w:hAnsi="Arial" w:cs="Arial"/>
          <w:u w:val="single"/>
        </w:rPr>
        <w:t>Local H</w:t>
      </w:r>
      <w:r w:rsidR="00434BBC" w:rsidRPr="00EB7712">
        <w:rPr>
          <w:rFonts w:ascii="Arial" w:hAnsi="Arial" w:cs="Arial"/>
          <w:u w:val="single"/>
        </w:rPr>
        <w:t xml:space="preserve">ousing </w:t>
      </w:r>
      <w:r>
        <w:rPr>
          <w:rFonts w:ascii="Arial" w:hAnsi="Arial" w:cs="Arial"/>
          <w:u w:val="single"/>
        </w:rPr>
        <w:t>A</w:t>
      </w:r>
      <w:r w:rsidR="00434BBC" w:rsidRPr="00EB7712">
        <w:rPr>
          <w:rFonts w:ascii="Arial" w:hAnsi="Arial" w:cs="Arial"/>
          <w:u w:val="single"/>
        </w:rPr>
        <w:t>llowance cap and Supported Housing</w:t>
      </w:r>
    </w:p>
    <w:p w14:paraId="19461395" w14:textId="77777777" w:rsidR="00434BBC" w:rsidRPr="00C03C94" w:rsidRDefault="00434BBC" w:rsidP="00434BBC">
      <w:pPr>
        <w:rPr>
          <w:rFonts w:ascii="Arial" w:hAnsi="Arial" w:cs="Arial"/>
          <w:b/>
          <w:u w:val="single"/>
        </w:rPr>
      </w:pPr>
    </w:p>
    <w:p w14:paraId="306A05C2" w14:textId="77777777" w:rsidR="00434BBC" w:rsidRPr="00C03C94" w:rsidRDefault="00434BBC" w:rsidP="00434BBC">
      <w:pPr>
        <w:pStyle w:val="NoSpacing"/>
        <w:rPr>
          <w:rFonts w:ascii="Arial" w:hAnsi="Arial" w:cs="Arial"/>
          <w:b/>
          <w:sz w:val="22"/>
          <w:szCs w:val="22"/>
        </w:rPr>
      </w:pPr>
      <w:r w:rsidRPr="00C03C94">
        <w:rPr>
          <w:rFonts w:ascii="Arial" w:hAnsi="Arial" w:cs="Arial"/>
          <w:b/>
          <w:sz w:val="22"/>
          <w:szCs w:val="22"/>
        </w:rPr>
        <w:t>The Chancellor announced:</w:t>
      </w:r>
    </w:p>
    <w:p w14:paraId="6E6BBA04" w14:textId="77777777" w:rsidR="00434BBC" w:rsidRPr="00C03C94" w:rsidRDefault="00434BBC" w:rsidP="00434BBC">
      <w:pPr>
        <w:pStyle w:val="NoSpacing"/>
        <w:jc w:val="both"/>
        <w:rPr>
          <w:rFonts w:ascii="Arial" w:hAnsi="Arial" w:cs="Arial"/>
          <w:sz w:val="22"/>
          <w:szCs w:val="22"/>
        </w:rPr>
      </w:pPr>
    </w:p>
    <w:p w14:paraId="35CC23CA" w14:textId="7C54D80D" w:rsidR="00434BBC" w:rsidRPr="00C03C94" w:rsidRDefault="00434BBC" w:rsidP="00434BBC">
      <w:pPr>
        <w:pStyle w:val="ListParagraph"/>
        <w:numPr>
          <w:ilvl w:val="0"/>
          <w:numId w:val="8"/>
        </w:numPr>
        <w:jc w:val="both"/>
        <w:rPr>
          <w:rFonts w:ascii="Arial" w:hAnsi="Arial" w:cs="Arial"/>
        </w:rPr>
      </w:pPr>
      <w:r w:rsidRPr="00C03C94">
        <w:rPr>
          <w:rFonts w:ascii="Arial" w:hAnsi="Arial" w:cs="Arial"/>
        </w:rPr>
        <w:t xml:space="preserve">The implementation of the cap on Housing Benefit and Local Housing Allowance rates in the social rented sector will be delayed by one year, to April 2019. The cap will be applied to all supported housing tenancies from April 2019, and the Government will provide additional funding to Local Authorities, so that they can meet the additional costs of supported housing in their area. For general needs housing, the cap will now apply from April 2019 for all tenants on Universal Credit, and to Housing Benefit tenants whose tenancies began or were renewed since April 2016. The Government has set out the cost of this decision as £305 million in 2018/19, moving to an income of £125 million in 2021/22. </w:t>
      </w:r>
      <w:r w:rsidRPr="00C03C94">
        <w:rPr>
          <w:rFonts w:ascii="Arial" w:hAnsi="Arial" w:cs="Arial"/>
          <w:i/>
        </w:rPr>
        <w:t>(Page 22</w:t>
      </w:r>
      <w:r w:rsidR="00BA6A7D">
        <w:rPr>
          <w:rFonts w:ascii="Arial" w:hAnsi="Arial" w:cs="Arial"/>
          <w:i/>
        </w:rPr>
        <w:t>,</w:t>
      </w:r>
      <w:r w:rsidRPr="00C03C94">
        <w:rPr>
          <w:rFonts w:ascii="Arial" w:hAnsi="Arial" w:cs="Arial"/>
          <w:i/>
        </w:rPr>
        <w:t xml:space="preserve"> </w:t>
      </w:r>
      <w:r w:rsidR="00BA6A7D">
        <w:rPr>
          <w:rFonts w:ascii="Arial" w:hAnsi="Arial" w:cs="Arial"/>
          <w:i/>
        </w:rPr>
        <w:t>t</w:t>
      </w:r>
      <w:r w:rsidRPr="00C03C94">
        <w:rPr>
          <w:rFonts w:ascii="Arial" w:hAnsi="Arial" w:cs="Arial"/>
          <w:i/>
        </w:rPr>
        <w:t>able 2.1 and Section 6; Page 44</w:t>
      </w:r>
      <w:r w:rsidR="00BA6A7D">
        <w:rPr>
          <w:rFonts w:ascii="Arial" w:hAnsi="Arial" w:cs="Arial"/>
          <w:i/>
        </w:rPr>
        <w:t>,</w:t>
      </w:r>
      <w:r w:rsidRPr="00C03C94">
        <w:rPr>
          <w:rFonts w:ascii="Arial" w:hAnsi="Arial" w:cs="Arial"/>
          <w:i/>
        </w:rPr>
        <w:t xml:space="preserve"> </w:t>
      </w:r>
      <w:r w:rsidR="00BA6A7D">
        <w:rPr>
          <w:rFonts w:ascii="Arial" w:hAnsi="Arial" w:cs="Arial"/>
          <w:i/>
        </w:rPr>
        <w:t>p</w:t>
      </w:r>
      <w:r w:rsidRPr="00C03C94">
        <w:rPr>
          <w:rFonts w:ascii="Arial" w:hAnsi="Arial" w:cs="Arial"/>
          <w:i/>
        </w:rPr>
        <w:t>aragraph 5.5)</w:t>
      </w:r>
      <w:r w:rsidR="00BA6A7D">
        <w:rPr>
          <w:rFonts w:ascii="Arial" w:hAnsi="Arial" w:cs="Arial"/>
          <w:i/>
        </w:rPr>
        <w:t>.</w:t>
      </w:r>
    </w:p>
    <w:p w14:paraId="7385CB6E" w14:textId="77777777" w:rsidR="00434BBC" w:rsidRPr="00C03C94" w:rsidRDefault="00434BBC" w:rsidP="00434BBC">
      <w:pPr>
        <w:rPr>
          <w:rFonts w:ascii="Arial" w:hAnsi="Arial" w:cs="Arial"/>
        </w:rPr>
      </w:pPr>
    </w:p>
    <w:p w14:paraId="6EDA2D00" w14:textId="20D47DA6" w:rsidR="00434BBC" w:rsidRPr="00C03C94" w:rsidRDefault="005D2F12" w:rsidP="00434BBC">
      <w:pPr>
        <w:rPr>
          <w:rFonts w:ascii="Arial" w:hAnsi="Arial" w:cs="Arial"/>
          <w:b/>
          <w:szCs w:val="22"/>
        </w:rPr>
      </w:pPr>
      <w:r>
        <w:rPr>
          <w:rFonts w:ascii="Arial" w:hAnsi="Arial" w:cs="Arial"/>
          <w:b/>
          <w:szCs w:val="22"/>
        </w:rPr>
        <w:t>LGA v</w:t>
      </w:r>
      <w:r w:rsidR="00434BBC" w:rsidRPr="00C03C94">
        <w:rPr>
          <w:rFonts w:ascii="Arial" w:hAnsi="Arial" w:cs="Arial"/>
          <w:b/>
          <w:szCs w:val="22"/>
        </w:rPr>
        <w:t>iew:</w:t>
      </w:r>
    </w:p>
    <w:p w14:paraId="42FD4486" w14:textId="77777777" w:rsidR="00434BBC" w:rsidRPr="00C03C94" w:rsidRDefault="00434BBC" w:rsidP="00434BBC">
      <w:pPr>
        <w:rPr>
          <w:rFonts w:ascii="Arial" w:hAnsi="Arial" w:cs="Arial"/>
          <w:b/>
          <w:szCs w:val="22"/>
        </w:rPr>
      </w:pPr>
    </w:p>
    <w:p w14:paraId="093A9556" w14:textId="77777777" w:rsidR="00434BBC" w:rsidRPr="00C03C94" w:rsidRDefault="00434BBC" w:rsidP="00434BBC">
      <w:pPr>
        <w:pStyle w:val="ListParagraph"/>
        <w:numPr>
          <w:ilvl w:val="0"/>
          <w:numId w:val="8"/>
        </w:numPr>
        <w:jc w:val="both"/>
        <w:rPr>
          <w:rFonts w:ascii="Arial" w:hAnsi="Arial" w:cs="Arial"/>
        </w:rPr>
      </w:pPr>
      <w:r w:rsidRPr="00C03C94">
        <w:rPr>
          <w:rFonts w:ascii="Arial" w:hAnsi="Arial" w:cs="Arial"/>
        </w:rPr>
        <w:t xml:space="preserve">We are pleased that the Government has listened to the LGA by committing to provide top-up funding above the level of the Local Housing Allowance cap to local authorities to meet the costs of supported housing in their areas.  We are calling on the Government to ensure that this covers the full cost of supported housing in each locality and that councils are not left with a shortfall. </w:t>
      </w:r>
    </w:p>
    <w:p w14:paraId="277FB0C0" w14:textId="77777777" w:rsidR="00434BBC" w:rsidRPr="00C03C94" w:rsidRDefault="00434BBC" w:rsidP="00434BBC">
      <w:pPr>
        <w:pStyle w:val="ListParagraph"/>
        <w:jc w:val="both"/>
        <w:rPr>
          <w:rFonts w:ascii="Arial" w:hAnsi="Arial" w:cs="Arial"/>
        </w:rPr>
      </w:pPr>
    </w:p>
    <w:p w14:paraId="68AC8B8A" w14:textId="77777777" w:rsidR="00434BBC" w:rsidRPr="00C03C94" w:rsidRDefault="00434BBC" w:rsidP="00434BBC">
      <w:pPr>
        <w:pStyle w:val="ListParagraph"/>
        <w:numPr>
          <w:ilvl w:val="0"/>
          <w:numId w:val="8"/>
        </w:numPr>
        <w:jc w:val="both"/>
        <w:rPr>
          <w:rFonts w:ascii="Arial" w:hAnsi="Arial" w:cs="Arial"/>
        </w:rPr>
      </w:pPr>
      <w:r w:rsidRPr="00C03C94">
        <w:rPr>
          <w:rFonts w:ascii="Arial" w:hAnsi="Arial" w:cs="Arial"/>
        </w:rPr>
        <w:t xml:space="preserve">We have yet to see detailed proposals from the Government regarding the volume of top-up funding going to local authorities and how this will be allocated. Adequate funding and distribution is vital to the future availability and sustainability of supported housing for some of our most vulnerable residents. The LGA will respond to the supported housing consultation published on 22 November 2016. </w:t>
      </w:r>
    </w:p>
    <w:p w14:paraId="1DAA08E9" w14:textId="77777777" w:rsidR="00434BBC" w:rsidRPr="00C03C94" w:rsidRDefault="00434BBC" w:rsidP="00720A34">
      <w:pPr>
        <w:spacing w:line="240" w:lineRule="auto"/>
        <w:jc w:val="both"/>
        <w:rPr>
          <w:rFonts w:ascii="Arial" w:eastAsia="Arial" w:hAnsi="Arial" w:cs="Arial"/>
          <w:b/>
          <w:u w:val="single"/>
        </w:rPr>
      </w:pPr>
    </w:p>
    <w:p w14:paraId="0FE53106" w14:textId="77777777" w:rsidR="00434BBC" w:rsidRPr="00C03C94" w:rsidRDefault="00434BBC" w:rsidP="00720A34">
      <w:pPr>
        <w:spacing w:line="240" w:lineRule="auto"/>
        <w:jc w:val="both"/>
        <w:rPr>
          <w:rFonts w:ascii="Arial" w:eastAsia="Arial" w:hAnsi="Arial" w:cs="Arial"/>
          <w:b/>
          <w:u w:val="single"/>
        </w:rPr>
      </w:pPr>
    </w:p>
    <w:p w14:paraId="317A3D63" w14:textId="77777777" w:rsidR="00434BBC" w:rsidRPr="00C03C94" w:rsidRDefault="00434BBC" w:rsidP="00434BBC">
      <w:pPr>
        <w:spacing w:line="240" w:lineRule="auto"/>
        <w:jc w:val="both"/>
        <w:rPr>
          <w:rFonts w:ascii="Arial" w:eastAsia="Arial" w:hAnsi="Arial" w:cs="Arial"/>
          <w:b/>
          <w:u w:val="single"/>
        </w:rPr>
      </w:pPr>
      <w:r w:rsidRPr="00C03C94">
        <w:rPr>
          <w:rFonts w:ascii="Arial" w:eastAsia="Arial" w:hAnsi="Arial" w:cs="Arial"/>
          <w:b/>
          <w:u w:val="single"/>
        </w:rPr>
        <w:t xml:space="preserve">Local growth </w:t>
      </w:r>
    </w:p>
    <w:p w14:paraId="3991D2E3" w14:textId="77777777" w:rsidR="00434BBC" w:rsidRPr="00C03C94" w:rsidRDefault="00434BBC" w:rsidP="00434BBC">
      <w:pPr>
        <w:spacing w:line="240" w:lineRule="auto"/>
        <w:jc w:val="both"/>
        <w:rPr>
          <w:rFonts w:ascii="Arial" w:eastAsia="Arial" w:hAnsi="Arial" w:cs="Arial"/>
          <w:b/>
          <w:u w:val="single"/>
        </w:rPr>
      </w:pPr>
    </w:p>
    <w:p w14:paraId="2A5412BA" w14:textId="77777777" w:rsidR="00434BBC" w:rsidRPr="00C03C94" w:rsidRDefault="00434BBC" w:rsidP="00434BBC">
      <w:pPr>
        <w:spacing w:line="240" w:lineRule="auto"/>
        <w:jc w:val="both"/>
        <w:rPr>
          <w:rFonts w:ascii="Arial" w:eastAsia="Arial" w:hAnsi="Arial" w:cs="Arial"/>
          <w:b/>
          <w:szCs w:val="22"/>
        </w:rPr>
      </w:pPr>
      <w:r w:rsidRPr="00C03C94">
        <w:rPr>
          <w:rFonts w:ascii="Arial" w:eastAsia="Arial" w:hAnsi="Arial" w:cs="Arial"/>
          <w:b/>
          <w:szCs w:val="22"/>
        </w:rPr>
        <w:t>The Chancellor announced:</w:t>
      </w:r>
    </w:p>
    <w:p w14:paraId="765F2F40" w14:textId="77777777" w:rsidR="00434BBC" w:rsidRPr="00C03C94" w:rsidRDefault="00434BBC" w:rsidP="00434BBC">
      <w:pPr>
        <w:spacing w:line="240" w:lineRule="auto"/>
        <w:jc w:val="both"/>
        <w:rPr>
          <w:rFonts w:ascii="Arial" w:eastAsia="Arial" w:hAnsi="Arial" w:cs="Arial"/>
        </w:rPr>
      </w:pPr>
    </w:p>
    <w:p w14:paraId="3CA4A79B" w14:textId="461AFF51" w:rsidR="00434BBC" w:rsidRPr="00C03C94" w:rsidRDefault="00434BBC" w:rsidP="00434BBC">
      <w:pPr>
        <w:pStyle w:val="ListParagraph"/>
        <w:numPr>
          <w:ilvl w:val="0"/>
          <w:numId w:val="18"/>
        </w:numPr>
        <w:jc w:val="both"/>
        <w:rPr>
          <w:rFonts w:ascii="Arial" w:hAnsi="Arial" w:cs="Arial"/>
          <w:i/>
        </w:rPr>
      </w:pPr>
      <w:r w:rsidRPr="00C03C94">
        <w:rPr>
          <w:rFonts w:ascii="Arial" w:hAnsi="Arial" w:cs="Arial"/>
        </w:rPr>
        <w:t xml:space="preserve">The </w:t>
      </w:r>
      <w:r w:rsidR="005D2F12">
        <w:rPr>
          <w:rFonts w:ascii="Arial" w:hAnsi="Arial" w:cs="Arial"/>
        </w:rPr>
        <w:t>G</w:t>
      </w:r>
      <w:r w:rsidRPr="00C03C94">
        <w:rPr>
          <w:rFonts w:ascii="Arial" w:hAnsi="Arial" w:cs="Arial"/>
        </w:rPr>
        <w:t xml:space="preserve">overnment will award £1.8 billion to Local Enterprise Partnerships (LEPs) across England through a third round of Growth Deals. £556 million of this will go to the north of England, £392 million to the midlands, £151 million to the east of England, £492 million to London and the south east, and £191 million to the south west </w:t>
      </w:r>
      <w:r w:rsidRPr="00C03C94">
        <w:rPr>
          <w:rFonts w:ascii="Arial" w:hAnsi="Arial" w:cs="Arial"/>
          <w:i/>
        </w:rPr>
        <w:t>(Page 33, paragraph 3.49)</w:t>
      </w:r>
      <w:r w:rsidR="00EB7712">
        <w:rPr>
          <w:rFonts w:ascii="Arial" w:hAnsi="Arial" w:cs="Arial"/>
          <w:i/>
        </w:rPr>
        <w:t>.</w:t>
      </w:r>
    </w:p>
    <w:p w14:paraId="13BEBACE" w14:textId="77777777" w:rsidR="00434BBC" w:rsidRPr="00C03C94" w:rsidRDefault="00434BBC" w:rsidP="00434BBC">
      <w:pPr>
        <w:spacing w:line="240" w:lineRule="auto"/>
        <w:jc w:val="both"/>
        <w:rPr>
          <w:rFonts w:ascii="Arial" w:eastAsia="Arial" w:hAnsi="Arial" w:cs="Arial"/>
        </w:rPr>
      </w:pPr>
    </w:p>
    <w:p w14:paraId="17112DFB" w14:textId="77777777" w:rsidR="00434BBC" w:rsidRPr="00C03C94" w:rsidRDefault="00434BBC" w:rsidP="00434BBC">
      <w:pPr>
        <w:spacing w:line="240" w:lineRule="auto"/>
        <w:jc w:val="both"/>
        <w:rPr>
          <w:rFonts w:ascii="Arial" w:eastAsia="Arial" w:hAnsi="Arial" w:cs="Arial"/>
          <w:b/>
          <w:szCs w:val="22"/>
        </w:rPr>
      </w:pPr>
      <w:r w:rsidRPr="00C03C94">
        <w:rPr>
          <w:rFonts w:ascii="Arial" w:eastAsia="Arial" w:hAnsi="Arial" w:cs="Arial"/>
          <w:b/>
          <w:szCs w:val="22"/>
        </w:rPr>
        <w:t>LGA view:</w:t>
      </w:r>
    </w:p>
    <w:p w14:paraId="091DB20E" w14:textId="77777777" w:rsidR="00434BBC" w:rsidRPr="00C03C94" w:rsidRDefault="00434BBC" w:rsidP="00434BBC">
      <w:pPr>
        <w:spacing w:line="240" w:lineRule="auto"/>
        <w:jc w:val="both"/>
        <w:rPr>
          <w:rFonts w:ascii="Arial" w:eastAsia="Arial" w:hAnsi="Arial" w:cs="Arial"/>
        </w:rPr>
      </w:pPr>
    </w:p>
    <w:p w14:paraId="53447B95" w14:textId="77777777" w:rsidR="00434BBC" w:rsidRPr="00C03C94" w:rsidRDefault="00434BBC" w:rsidP="00434BBC">
      <w:pPr>
        <w:pStyle w:val="ListParagraph"/>
        <w:numPr>
          <w:ilvl w:val="0"/>
          <w:numId w:val="18"/>
        </w:numPr>
        <w:jc w:val="both"/>
        <w:rPr>
          <w:rFonts w:ascii="Arial" w:hAnsi="Arial" w:cs="Arial"/>
        </w:rPr>
      </w:pPr>
      <w:r w:rsidRPr="00C03C94">
        <w:rPr>
          <w:rFonts w:ascii="Arial" w:hAnsi="Arial" w:cs="Arial"/>
        </w:rPr>
        <w:t>Local areas will welcome Government’s commitment to local growth as council leaders working with their business leaders are best placed to understand and bring improvements to their economies and boost productivity.  However, LGA commissioned independent research identified £23.5 billion of identified planned Government spending on growth that is spread across 70 funding streams, managed by 22 government departments and agencies, each with different objectives, timetables and rules. Outside of devolved areas there is very limited or no local influence in well over half of these funding streams. This makes it difficult to join up interventions and achieve economic and social regeneration. The Government should reduce this fragmented approach to funding and ensure that combined authorities and councils have much greater influence and control over public investment in growth.</w:t>
      </w:r>
    </w:p>
    <w:p w14:paraId="0545DB53" w14:textId="77777777" w:rsidR="00434BBC" w:rsidRPr="00C03C94" w:rsidRDefault="00434BBC" w:rsidP="00434BBC">
      <w:pPr>
        <w:spacing w:line="240" w:lineRule="auto"/>
        <w:jc w:val="both"/>
        <w:rPr>
          <w:rFonts w:ascii="Arial" w:eastAsia="Arial" w:hAnsi="Arial" w:cs="Arial"/>
          <w:b/>
          <w:u w:val="single"/>
        </w:rPr>
      </w:pPr>
    </w:p>
    <w:p w14:paraId="63FBAA9C" w14:textId="77777777" w:rsidR="00434BBC" w:rsidRPr="00C03C94" w:rsidRDefault="00434BBC" w:rsidP="00434BBC">
      <w:pPr>
        <w:pStyle w:val="Default"/>
        <w:rPr>
          <w:b/>
          <w:bCs/>
          <w:color w:val="auto"/>
          <w:sz w:val="22"/>
          <w:szCs w:val="22"/>
        </w:rPr>
      </w:pPr>
      <w:r w:rsidRPr="00C03C94">
        <w:rPr>
          <w:b/>
          <w:bCs/>
          <w:color w:val="auto"/>
          <w:sz w:val="22"/>
          <w:szCs w:val="22"/>
          <w:u w:val="single"/>
        </w:rPr>
        <w:t>Local infrastructure</w:t>
      </w:r>
    </w:p>
    <w:p w14:paraId="48CD09FF" w14:textId="77777777" w:rsidR="00434BBC" w:rsidRPr="00C03C94" w:rsidRDefault="00434BBC" w:rsidP="00434BBC">
      <w:pPr>
        <w:pStyle w:val="Default"/>
        <w:rPr>
          <w:b/>
          <w:bCs/>
          <w:color w:val="auto"/>
          <w:sz w:val="22"/>
          <w:szCs w:val="22"/>
        </w:rPr>
      </w:pPr>
    </w:p>
    <w:p w14:paraId="7D0567FB" w14:textId="77777777" w:rsidR="00434BBC" w:rsidRPr="00C03C94" w:rsidRDefault="00434BBC" w:rsidP="00434BBC">
      <w:pPr>
        <w:pStyle w:val="Default"/>
        <w:rPr>
          <w:b/>
          <w:bCs/>
          <w:color w:val="auto"/>
          <w:sz w:val="22"/>
          <w:szCs w:val="22"/>
        </w:rPr>
      </w:pPr>
      <w:r w:rsidRPr="00C03C94">
        <w:rPr>
          <w:b/>
          <w:bCs/>
          <w:color w:val="auto"/>
          <w:sz w:val="22"/>
          <w:szCs w:val="22"/>
        </w:rPr>
        <w:t>The Chancellor has announced:</w:t>
      </w:r>
    </w:p>
    <w:p w14:paraId="5372FB0C" w14:textId="77777777" w:rsidR="00434BBC" w:rsidRPr="00C03C94" w:rsidRDefault="00434BBC" w:rsidP="00434BBC">
      <w:pPr>
        <w:pStyle w:val="Default"/>
        <w:rPr>
          <w:b/>
          <w:bCs/>
          <w:color w:val="auto"/>
          <w:sz w:val="22"/>
          <w:szCs w:val="22"/>
        </w:rPr>
      </w:pPr>
    </w:p>
    <w:p w14:paraId="7D15E6BA" w14:textId="6377B267" w:rsidR="00434BBC" w:rsidRPr="00C03C94" w:rsidRDefault="00434BBC" w:rsidP="00434BBC">
      <w:pPr>
        <w:pStyle w:val="Default"/>
        <w:numPr>
          <w:ilvl w:val="0"/>
          <w:numId w:val="34"/>
        </w:numPr>
        <w:jc w:val="both"/>
        <w:rPr>
          <w:i/>
          <w:color w:val="auto"/>
          <w:sz w:val="22"/>
          <w:szCs w:val="22"/>
        </w:rPr>
      </w:pPr>
      <w:r w:rsidRPr="00C03C94">
        <w:rPr>
          <w:color w:val="auto"/>
          <w:sz w:val="22"/>
          <w:szCs w:val="22"/>
        </w:rPr>
        <w:t>The Government will consult on lending local authorities up to £1 billion at a new local infrastructure rate of gilts + 60 basis points for three years to support infrastructure projects that are high value for money. This represents an interest rate saving of 0.2 per cent on that rate (</w:t>
      </w:r>
      <w:r w:rsidRPr="00C03C94">
        <w:rPr>
          <w:i/>
          <w:color w:val="auto"/>
          <w:sz w:val="22"/>
          <w:szCs w:val="22"/>
        </w:rPr>
        <w:t xml:space="preserve">Page 33, </w:t>
      </w:r>
      <w:r w:rsidR="00BA6A7D">
        <w:rPr>
          <w:i/>
          <w:color w:val="auto"/>
          <w:sz w:val="22"/>
          <w:szCs w:val="22"/>
        </w:rPr>
        <w:t>p</w:t>
      </w:r>
      <w:r w:rsidRPr="00C03C94">
        <w:rPr>
          <w:i/>
          <w:color w:val="auto"/>
          <w:sz w:val="22"/>
          <w:szCs w:val="22"/>
        </w:rPr>
        <w:t>aragraph 3.49)</w:t>
      </w:r>
      <w:r w:rsidR="00EB7712">
        <w:rPr>
          <w:i/>
          <w:color w:val="auto"/>
          <w:sz w:val="22"/>
          <w:szCs w:val="22"/>
        </w:rPr>
        <w:t>.</w:t>
      </w:r>
    </w:p>
    <w:p w14:paraId="4C4178F0" w14:textId="77777777" w:rsidR="00434BBC" w:rsidRPr="00C03C94" w:rsidRDefault="00434BBC" w:rsidP="00434BBC">
      <w:pPr>
        <w:rPr>
          <w:rFonts w:ascii="Arial" w:hAnsi="Arial" w:cs="Arial"/>
          <w:szCs w:val="22"/>
        </w:rPr>
      </w:pPr>
    </w:p>
    <w:p w14:paraId="06C96356" w14:textId="77777777" w:rsidR="00434BBC" w:rsidRPr="00C03C94" w:rsidRDefault="00434BBC" w:rsidP="00434BBC">
      <w:pPr>
        <w:rPr>
          <w:rFonts w:ascii="Arial" w:hAnsi="Arial" w:cs="Arial"/>
          <w:b/>
          <w:szCs w:val="22"/>
        </w:rPr>
      </w:pPr>
      <w:r w:rsidRPr="00C03C94">
        <w:rPr>
          <w:rFonts w:ascii="Arial" w:hAnsi="Arial" w:cs="Arial"/>
          <w:b/>
          <w:szCs w:val="22"/>
        </w:rPr>
        <w:t>LGA view:</w:t>
      </w:r>
    </w:p>
    <w:p w14:paraId="76F48D0A" w14:textId="77777777" w:rsidR="00434BBC" w:rsidRPr="00C03C94" w:rsidRDefault="00434BBC" w:rsidP="00434BBC">
      <w:pPr>
        <w:rPr>
          <w:rFonts w:ascii="Arial" w:hAnsi="Arial" w:cs="Arial"/>
          <w:szCs w:val="22"/>
        </w:rPr>
      </w:pPr>
    </w:p>
    <w:p w14:paraId="1ED3BEAF" w14:textId="77777777" w:rsidR="00434BBC" w:rsidRPr="00C03C94" w:rsidRDefault="00434BBC" w:rsidP="00434BBC">
      <w:pPr>
        <w:pStyle w:val="ListParagraph"/>
        <w:numPr>
          <w:ilvl w:val="0"/>
          <w:numId w:val="33"/>
        </w:numPr>
        <w:jc w:val="both"/>
        <w:rPr>
          <w:rFonts w:ascii="Arial" w:hAnsi="Arial" w:cs="Arial"/>
          <w:szCs w:val="22"/>
        </w:rPr>
      </w:pPr>
      <w:r w:rsidRPr="00C03C94">
        <w:rPr>
          <w:rFonts w:ascii="Arial" w:hAnsi="Arial" w:cs="Arial"/>
          <w:szCs w:val="22"/>
        </w:rPr>
        <w:t>Since November 2013 the Government has offered lending at a rate of gilts plus 60 basis points in respect of an infrastructure project nominated by a Local Enterprise Partnership (LEP). An extension of this to local authorities for local infrastructure more generally would be welcome.</w:t>
      </w:r>
    </w:p>
    <w:p w14:paraId="66965CFD" w14:textId="77777777" w:rsidR="00434BBC" w:rsidRPr="00C03C94" w:rsidRDefault="00434BBC" w:rsidP="00720A34">
      <w:pPr>
        <w:spacing w:line="240" w:lineRule="auto"/>
        <w:jc w:val="both"/>
        <w:rPr>
          <w:rFonts w:ascii="Arial" w:eastAsia="Arial" w:hAnsi="Arial" w:cs="Arial"/>
          <w:b/>
          <w:u w:val="single"/>
        </w:rPr>
      </w:pPr>
    </w:p>
    <w:p w14:paraId="5C6B3950" w14:textId="77777777" w:rsidR="00720A34" w:rsidRPr="00C03C94" w:rsidRDefault="00720A34" w:rsidP="00720A34">
      <w:pPr>
        <w:spacing w:line="240" w:lineRule="auto"/>
        <w:jc w:val="both"/>
        <w:rPr>
          <w:rFonts w:ascii="Arial" w:eastAsia="Arial" w:hAnsi="Arial" w:cs="Arial"/>
          <w:b/>
          <w:u w:val="single"/>
        </w:rPr>
      </w:pPr>
      <w:r w:rsidRPr="00C03C94">
        <w:rPr>
          <w:rFonts w:ascii="Arial" w:eastAsia="Arial" w:hAnsi="Arial" w:cs="Arial"/>
          <w:b/>
          <w:u w:val="single"/>
        </w:rPr>
        <w:t>Education Services Grant</w:t>
      </w:r>
    </w:p>
    <w:p w14:paraId="1882A7C7" w14:textId="77777777" w:rsidR="00720A34" w:rsidRPr="00C03C94" w:rsidRDefault="00720A34" w:rsidP="00720A34">
      <w:pPr>
        <w:spacing w:line="240" w:lineRule="auto"/>
        <w:jc w:val="both"/>
        <w:rPr>
          <w:rFonts w:ascii="Arial" w:eastAsia="Arial" w:hAnsi="Arial" w:cs="Arial"/>
          <w:b/>
          <w:szCs w:val="22"/>
          <w:u w:val="single"/>
        </w:rPr>
      </w:pPr>
    </w:p>
    <w:p w14:paraId="68883E73" w14:textId="5CC58AD2" w:rsidR="001B4352" w:rsidRPr="00C03C94" w:rsidRDefault="001B4352" w:rsidP="00720A34">
      <w:pPr>
        <w:spacing w:line="240" w:lineRule="auto"/>
        <w:jc w:val="both"/>
        <w:rPr>
          <w:rFonts w:ascii="Arial" w:eastAsia="Arial" w:hAnsi="Arial" w:cs="Arial"/>
          <w:b/>
          <w:szCs w:val="22"/>
        </w:rPr>
      </w:pPr>
      <w:r w:rsidRPr="00C03C94">
        <w:rPr>
          <w:rFonts w:ascii="Arial" w:eastAsia="Arial" w:hAnsi="Arial" w:cs="Arial"/>
          <w:b/>
          <w:szCs w:val="22"/>
        </w:rPr>
        <w:t>The Chancellor was silent on the Education Services Grant.</w:t>
      </w:r>
    </w:p>
    <w:p w14:paraId="4DD0C294" w14:textId="77777777" w:rsidR="001B4352" w:rsidRPr="00C03C94" w:rsidRDefault="001B4352" w:rsidP="00720A34">
      <w:pPr>
        <w:spacing w:line="240" w:lineRule="auto"/>
        <w:jc w:val="both"/>
        <w:rPr>
          <w:rFonts w:ascii="Arial" w:eastAsia="Arial" w:hAnsi="Arial" w:cs="Arial"/>
          <w:b/>
          <w:szCs w:val="22"/>
        </w:rPr>
      </w:pPr>
    </w:p>
    <w:p w14:paraId="676B3E7A" w14:textId="77777777" w:rsidR="00720A34" w:rsidRPr="00C03C94" w:rsidRDefault="00720A34" w:rsidP="00720A34">
      <w:pPr>
        <w:spacing w:line="240" w:lineRule="auto"/>
        <w:jc w:val="both"/>
        <w:rPr>
          <w:rFonts w:ascii="Arial" w:eastAsia="Arial" w:hAnsi="Arial" w:cs="Arial"/>
          <w:b/>
          <w:szCs w:val="22"/>
        </w:rPr>
      </w:pPr>
      <w:r w:rsidRPr="00C03C94">
        <w:rPr>
          <w:rFonts w:ascii="Arial" w:eastAsia="Arial" w:hAnsi="Arial" w:cs="Arial"/>
          <w:b/>
          <w:szCs w:val="22"/>
        </w:rPr>
        <w:t>LGA view:</w:t>
      </w:r>
    </w:p>
    <w:p w14:paraId="1848CF93" w14:textId="77777777" w:rsidR="00720A34" w:rsidRPr="00C03C94" w:rsidRDefault="00720A34" w:rsidP="00720A34">
      <w:pPr>
        <w:spacing w:line="240" w:lineRule="auto"/>
        <w:jc w:val="both"/>
        <w:rPr>
          <w:rFonts w:ascii="Arial" w:eastAsia="Arial" w:hAnsi="Arial" w:cs="Arial"/>
          <w:szCs w:val="22"/>
        </w:rPr>
      </w:pPr>
    </w:p>
    <w:p w14:paraId="3C4FFA8B" w14:textId="3012CEEE" w:rsidR="00720A34" w:rsidRPr="00C03C94" w:rsidRDefault="00720A34" w:rsidP="00AB523F">
      <w:pPr>
        <w:pStyle w:val="ListParagraph"/>
        <w:numPr>
          <w:ilvl w:val="0"/>
          <w:numId w:val="43"/>
        </w:numPr>
        <w:spacing w:line="240" w:lineRule="auto"/>
        <w:jc w:val="both"/>
        <w:rPr>
          <w:rFonts w:ascii="Arial" w:eastAsia="Arial" w:hAnsi="Arial" w:cs="Arial"/>
          <w:szCs w:val="22"/>
        </w:rPr>
      </w:pPr>
      <w:r w:rsidRPr="00C03C94">
        <w:rPr>
          <w:rFonts w:ascii="Arial" w:eastAsia="Arial" w:hAnsi="Arial" w:cs="Arial"/>
          <w:szCs w:val="22"/>
        </w:rPr>
        <w:t>We are disappointed that the Government is pressing ahead with the planned £600</w:t>
      </w:r>
      <w:r w:rsidR="00717B94" w:rsidRPr="00C03C94">
        <w:rPr>
          <w:rFonts w:ascii="Arial" w:eastAsia="Arial" w:hAnsi="Arial" w:cs="Arial"/>
          <w:szCs w:val="22"/>
        </w:rPr>
        <w:t xml:space="preserve"> </w:t>
      </w:r>
      <w:r w:rsidRPr="00C03C94">
        <w:rPr>
          <w:rFonts w:ascii="Arial" w:eastAsia="Arial" w:hAnsi="Arial" w:cs="Arial"/>
          <w:szCs w:val="22"/>
        </w:rPr>
        <w:t>m</w:t>
      </w:r>
      <w:r w:rsidR="00717B94" w:rsidRPr="00C03C94">
        <w:rPr>
          <w:rFonts w:ascii="Arial" w:eastAsia="Arial" w:hAnsi="Arial" w:cs="Arial"/>
          <w:szCs w:val="22"/>
        </w:rPr>
        <w:t>illion</w:t>
      </w:r>
      <w:r w:rsidRPr="00C03C94">
        <w:rPr>
          <w:rFonts w:ascii="Arial" w:eastAsia="Arial" w:hAnsi="Arial" w:cs="Arial"/>
          <w:szCs w:val="22"/>
        </w:rPr>
        <w:t xml:space="preserve"> cut to the Education Services Grant, despite deciding not to go ahead with the Education for All Bill which would have removed councils' school improvement duties. Councils will now have duties with no funding to pay for them.</w:t>
      </w:r>
    </w:p>
    <w:p w14:paraId="634B6C8D" w14:textId="77777777" w:rsidR="00720A34" w:rsidRPr="00C03C94" w:rsidRDefault="00720A34" w:rsidP="00AB523F">
      <w:pPr>
        <w:spacing w:line="240" w:lineRule="auto"/>
        <w:jc w:val="both"/>
        <w:rPr>
          <w:rFonts w:ascii="Arial" w:eastAsia="Arial" w:hAnsi="Arial" w:cs="Arial"/>
          <w:szCs w:val="22"/>
        </w:rPr>
      </w:pPr>
    </w:p>
    <w:p w14:paraId="213308C0" w14:textId="018BF4C3" w:rsidR="00720A34" w:rsidRPr="00C03C94" w:rsidRDefault="00720A34" w:rsidP="00AB523F">
      <w:pPr>
        <w:pStyle w:val="ListParagraph"/>
        <w:numPr>
          <w:ilvl w:val="0"/>
          <w:numId w:val="43"/>
        </w:numPr>
        <w:jc w:val="both"/>
        <w:rPr>
          <w:rFonts w:ascii="Arial" w:hAnsi="Arial" w:cs="Arial"/>
          <w:b/>
          <w:u w:val="single"/>
        </w:rPr>
      </w:pPr>
      <w:r w:rsidRPr="00C03C94">
        <w:rPr>
          <w:rFonts w:ascii="Arial" w:eastAsia="Arial" w:hAnsi="Arial" w:cs="Arial"/>
          <w:szCs w:val="22"/>
        </w:rPr>
        <w:t xml:space="preserve">Councils will be expected to continue to ensure all children have a place in an excellent school and that schools are supported to improve, but with less than 25 per cent of current funding. We also have yet to be convinced that the </w:t>
      </w:r>
      <w:r w:rsidR="00717B94" w:rsidRPr="00C03C94">
        <w:rPr>
          <w:rFonts w:ascii="Arial" w:eastAsia="Arial" w:hAnsi="Arial" w:cs="Arial"/>
          <w:szCs w:val="22"/>
        </w:rPr>
        <w:t>Regional Schools Commissioners</w:t>
      </w:r>
      <w:r w:rsidRPr="00C03C94">
        <w:rPr>
          <w:rFonts w:ascii="Arial" w:eastAsia="Arial" w:hAnsi="Arial" w:cs="Arial"/>
          <w:szCs w:val="22"/>
        </w:rPr>
        <w:t xml:space="preserve"> and other school improvement support structures have the track record, the capacity or the geographical coverage to replace the council role in supporting 13,000 maintained schools to improve. So this reduction in funding will leave a gap in support for the majority of schools in England.</w:t>
      </w:r>
    </w:p>
    <w:p w14:paraId="3DE384D2" w14:textId="77777777" w:rsidR="00720A34" w:rsidRPr="00C03C94" w:rsidRDefault="00720A34" w:rsidP="00F17F59">
      <w:pPr>
        <w:rPr>
          <w:rFonts w:ascii="Arial" w:hAnsi="Arial" w:cs="Arial"/>
          <w:b/>
          <w:u w:val="single"/>
        </w:rPr>
      </w:pPr>
    </w:p>
    <w:p w14:paraId="6DE293E4" w14:textId="77777777" w:rsidR="00720A34" w:rsidRPr="00C03C94" w:rsidRDefault="00720A34" w:rsidP="00720A34">
      <w:pPr>
        <w:rPr>
          <w:rFonts w:ascii="Arial" w:hAnsi="Arial"/>
          <w:u w:val="single"/>
        </w:rPr>
      </w:pPr>
      <w:r w:rsidRPr="00C03C94">
        <w:rPr>
          <w:rFonts w:ascii="Arial" w:hAnsi="Arial" w:cs="Arial"/>
          <w:b/>
          <w:bCs/>
          <w:szCs w:val="22"/>
          <w:u w:val="single"/>
        </w:rPr>
        <w:t>Flooding</w:t>
      </w:r>
    </w:p>
    <w:p w14:paraId="28507615" w14:textId="77777777" w:rsidR="00720A34" w:rsidRPr="00C03C94" w:rsidRDefault="00720A34" w:rsidP="00720A34">
      <w:pPr>
        <w:rPr>
          <w:rFonts w:ascii="Arial" w:hAnsi="Arial" w:cs="Arial"/>
          <w:szCs w:val="22"/>
        </w:rPr>
      </w:pPr>
      <w:r w:rsidRPr="00C03C94">
        <w:rPr>
          <w:rFonts w:ascii="Arial" w:hAnsi="Arial" w:cs="Arial"/>
          <w:szCs w:val="22"/>
        </w:rPr>
        <w:t> </w:t>
      </w:r>
    </w:p>
    <w:p w14:paraId="31CEDEF8" w14:textId="77777777" w:rsidR="00720A34" w:rsidRPr="00C03C94" w:rsidRDefault="00720A34" w:rsidP="00720A34">
      <w:pPr>
        <w:rPr>
          <w:rFonts w:ascii="Arial" w:hAnsi="Arial" w:cs="Arial"/>
          <w:b/>
          <w:szCs w:val="22"/>
        </w:rPr>
      </w:pPr>
      <w:r w:rsidRPr="00C03C94">
        <w:rPr>
          <w:rFonts w:ascii="Arial" w:hAnsi="Arial" w:cs="Arial"/>
          <w:b/>
          <w:szCs w:val="22"/>
        </w:rPr>
        <w:t>The Chancellor has announced:</w:t>
      </w:r>
    </w:p>
    <w:p w14:paraId="684C93AD" w14:textId="77777777" w:rsidR="00720A34" w:rsidRPr="00C03C94" w:rsidRDefault="00720A34" w:rsidP="00720A34">
      <w:pPr>
        <w:rPr>
          <w:rFonts w:ascii="Arial" w:hAnsi="Arial" w:cs="Arial"/>
          <w:szCs w:val="22"/>
        </w:rPr>
      </w:pPr>
      <w:r w:rsidRPr="00C03C94">
        <w:rPr>
          <w:rFonts w:ascii="Arial" w:hAnsi="Arial" w:cs="Arial"/>
          <w:szCs w:val="22"/>
        </w:rPr>
        <w:t> </w:t>
      </w:r>
    </w:p>
    <w:p w14:paraId="5CCA4DE8" w14:textId="6A7E676E" w:rsidR="00720A34" w:rsidRPr="00C03C94" w:rsidRDefault="00720A34" w:rsidP="00AB523F">
      <w:pPr>
        <w:pStyle w:val="ListParagraph"/>
        <w:numPr>
          <w:ilvl w:val="0"/>
          <w:numId w:val="32"/>
        </w:numPr>
        <w:autoSpaceDE w:val="0"/>
        <w:autoSpaceDN w:val="0"/>
        <w:jc w:val="both"/>
        <w:rPr>
          <w:rFonts w:ascii="Arial" w:hAnsi="Arial" w:cs="Arial"/>
          <w:i/>
          <w:szCs w:val="22"/>
        </w:rPr>
      </w:pPr>
      <w:r w:rsidRPr="00C03C94">
        <w:rPr>
          <w:rFonts w:ascii="Arial" w:hAnsi="Arial" w:cs="Arial"/>
          <w:szCs w:val="22"/>
        </w:rPr>
        <w:t xml:space="preserve">Investment of £170 million in flood defence and resilience measures. £20 million of this investment will be for new flood defence schemes, £50 million for rail resilience projects and £100 million to improve the resilience of roads to flooding </w:t>
      </w:r>
      <w:r w:rsidRPr="00C03C94">
        <w:rPr>
          <w:rFonts w:ascii="Arial" w:hAnsi="Arial" w:cs="Arial"/>
          <w:i/>
          <w:szCs w:val="22"/>
        </w:rPr>
        <w:t>(Page 29</w:t>
      </w:r>
      <w:r w:rsidRPr="00C03C94">
        <w:rPr>
          <w:rFonts w:ascii="Arial" w:hAnsi="Arial" w:cs="Arial"/>
          <w:i/>
          <w:iCs/>
          <w:szCs w:val="22"/>
        </w:rPr>
        <w:t xml:space="preserve">, </w:t>
      </w:r>
      <w:r w:rsidR="00BA6A7D">
        <w:rPr>
          <w:rFonts w:ascii="Arial" w:hAnsi="Arial" w:cs="Arial"/>
          <w:i/>
          <w:iCs/>
          <w:szCs w:val="22"/>
        </w:rPr>
        <w:t>p</w:t>
      </w:r>
      <w:r w:rsidRPr="00C03C94">
        <w:rPr>
          <w:rFonts w:ascii="Arial" w:hAnsi="Arial" w:cs="Arial"/>
          <w:i/>
          <w:szCs w:val="22"/>
        </w:rPr>
        <w:t>aragraph 3.25</w:t>
      </w:r>
      <w:r w:rsidRPr="00C03C94">
        <w:rPr>
          <w:rFonts w:ascii="Arial" w:hAnsi="Arial" w:cs="Arial"/>
          <w:i/>
          <w:iCs/>
          <w:szCs w:val="22"/>
        </w:rPr>
        <w:t>)</w:t>
      </w:r>
      <w:r w:rsidR="00EB7712">
        <w:rPr>
          <w:rFonts w:ascii="Arial" w:hAnsi="Arial" w:cs="Arial"/>
          <w:i/>
          <w:iCs/>
          <w:szCs w:val="22"/>
        </w:rPr>
        <w:t>.</w:t>
      </w:r>
    </w:p>
    <w:p w14:paraId="581B9300" w14:textId="77777777" w:rsidR="00720A34" w:rsidRPr="00C03C94" w:rsidRDefault="00720A34" w:rsidP="00720A34">
      <w:pPr>
        <w:pStyle w:val="ListParagraph"/>
        <w:rPr>
          <w:rFonts w:ascii="Arial" w:hAnsi="Arial" w:cs="Arial"/>
          <w:szCs w:val="22"/>
        </w:rPr>
      </w:pPr>
      <w:r w:rsidRPr="00C03C94">
        <w:rPr>
          <w:rFonts w:ascii="Arial" w:hAnsi="Arial" w:cs="Arial"/>
          <w:szCs w:val="22"/>
        </w:rPr>
        <w:t> </w:t>
      </w:r>
    </w:p>
    <w:p w14:paraId="34E3390C" w14:textId="7B7C1173" w:rsidR="00720A34" w:rsidRPr="00C03C94" w:rsidRDefault="00AB523F" w:rsidP="00720A34">
      <w:pPr>
        <w:rPr>
          <w:rFonts w:ascii="Arial" w:hAnsi="Arial" w:cs="Arial"/>
          <w:szCs w:val="22"/>
        </w:rPr>
      </w:pPr>
      <w:r w:rsidRPr="00C03C94">
        <w:rPr>
          <w:rFonts w:ascii="Arial" w:hAnsi="Arial" w:cs="Arial"/>
          <w:b/>
          <w:bCs/>
          <w:szCs w:val="22"/>
        </w:rPr>
        <w:t>L</w:t>
      </w:r>
      <w:r w:rsidR="00720A34" w:rsidRPr="00C03C94">
        <w:rPr>
          <w:rFonts w:ascii="Arial" w:hAnsi="Arial" w:cs="Arial"/>
          <w:b/>
          <w:bCs/>
          <w:szCs w:val="22"/>
        </w:rPr>
        <w:t>GA view:</w:t>
      </w:r>
    </w:p>
    <w:p w14:paraId="0C10573B" w14:textId="77777777" w:rsidR="00720A34" w:rsidRPr="00C03C94" w:rsidRDefault="00720A34" w:rsidP="00720A34">
      <w:pPr>
        <w:rPr>
          <w:rFonts w:ascii="Arial" w:hAnsi="Arial" w:cs="Arial"/>
          <w:szCs w:val="22"/>
        </w:rPr>
      </w:pPr>
      <w:r w:rsidRPr="00C03C94">
        <w:rPr>
          <w:rFonts w:ascii="Arial" w:hAnsi="Arial" w:cs="Arial"/>
          <w:szCs w:val="22"/>
        </w:rPr>
        <w:t> </w:t>
      </w:r>
    </w:p>
    <w:p w14:paraId="69EF2C0D" w14:textId="77777777" w:rsidR="00720A34" w:rsidRPr="00C03C94" w:rsidRDefault="00720A34" w:rsidP="00AB523F">
      <w:pPr>
        <w:pStyle w:val="ListParagraph"/>
        <w:numPr>
          <w:ilvl w:val="0"/>
          <w:numId w:val="31"/>
        </w:numPr>
        <w:autoSpaceDE w:val="0"/>
        <w:autoSpaceDN w:val="0"/>
        <w:jc w:val="both"/>
        <w:rPr>
          <w:rFonts w:ascii="Arial" w:hAnsi="Arial" w:cs="Arial"/>
          <w:szCs w:val="22"/>
        </w:rPr>
      </w:pPr>
      <w:r w:rsidRPr="00C03C94">
        <w:rPr>
          <w:rFonts w:ascii="Arial" w:hAnsi="Arial" w:cs="Arial"/>
          <w:szCs w:val="22"/>
        </w:rPr>
        <w:t xml:space="preserve">This provides clarity on how a proportion of the £700m additional funding for flood defences announced at Budget 2016 will be allocated. It is vital that investment in capital and maintenance is joined-up as part of a long-term approach to improving local flood defence and resilience infrastructure. Devolving capital and revenue funding for flood risk management projects into a single, place-based pot would allow local areas to support a more diverse set of outcomes and local priorities. </w:t>
      </w:r>
    </w:p>
    <w:p w14:paraId="196B1423" w14:textId="77777777" w:rsidR="00720A34" w:rsidRPr="00C03C94" w:rsidRDefault="00720A34" w:rsidP="00AE3E83">
      <w:pPr>
        <w:spacing w:line="240" w:lineRule="auto"/>
        <w:jc w:val="both"/>
        <w:rPr>
          <w:rFonts w:ascii="Arial" w:eastAsia="Arial" w:hAnsi="Arial" w:cs="Arial"/>
          <w:b/>
          <w:u w:val="single"/>
        </w:rPr>
      </w:pPr>
    </w:p>
    <w:p w14:paraId="54798DB1" w14:textId="77777777" w:rsidR="00720A34" w:rsidRPr="00C03C94" w:rsidRDefault="00720A34" w:rsidP="00720A34">
      <w:pPr>
        <w:spacing w:line="240" w:lineRule="auto"/>
        <w:jc w:val="both"/>
        <w:rPr>
          <w:rFonts w:ascii="Arial" w:eastAsia="Arial" w:hAnsi="Arial" w:cs="Arial"/>
          <w:b/>
          <w:u w:val="single"/>
        </w:rPr>
      </w:pPr>
      <w:r w:rsidRPr="00C03C94">
        <w:rPr>
          <w:rFonts w:ascii="Arial" w:eastAsia="Arial" w:hAnsi="Arial" w:cs="Arial"/>
          <w:b/>
          <w:u w:val="single"/>
        </w:rPr>
        <w:t>Local Transport</w:t>
      </w:r>
    </w:p>
    <w:p w14:paraId="563D9BB0" w14:textId="77777777" w:rsidR="00720A34" w:rsidRPr="00C03C94" w:rsidRDefault="00720A34" w:rsidP="00720A34">
      <w:pPr>
        <w:spacing w:line="240" w:lineRule="auto"/>
        <w:jc w:val="both"/>
        <w:rPr>
          <w:rFonts w:ascii="Arial" w:eastAsia="Arial" w:hAnsi="Arial" w:cs="Arial"/>
          <w:b/>
          <w:u w:val="single"/>
        </w:rPr>
      </w:pPr>
    </w:p>
    <w:p w14:paraId="148A875B" w14:textId="77777777" w:rsidR="00720A34" w:rsidRPr="00C03C94" w:rsidRDefault="00720A34" w:rsidP="00720A34">
      <w:pPr>
        <w:spacing w:line="240" w:lineRule="auto"/>
        <w:jc w:val="both"/>
        <w:rPr>
          <w:rFonts w:ascii="Arial" w:eastAsia="Arial" w:hAnsi="Arial" w:cs="Arial"/>
          <w:b/>
        </w:rPr>
      </w:pPr>
      <w:r w:rsidRPr="00C03C94">
        <w:rPr>
          <w:rFonts w:ascii="Arial" w:eastAsia="Arial" w:hAnsi="Arial" w:cs="Arial"/>
          <w:b/>
        </w:rPr>
        <w:t>The Chancellor has announced:</w:t>
      </w:r>
    </w:p>
    <w:p w14:paraId="21776E6D" w14:textId="77777777" w:rsidR="00720A34" w:rsidRPr="00C03C94" w:rsidRDefault="00720A34" w:rsidP="00720A34">
      <w:pPr>
        <w:spacing w:line="240" w:lineRule="auto"/>
        <w:jc w:val="both"/>
        <w:rPr>
          <w:rFonts w:ascii="Arial" w:eastAsia="Arial" w:hAnsi="Arial" w:cs="Arial"/>
          <w:b/>
        </w:rPr>
      </w:pPr>
    </w:p>
    <w:p w14:paraId="7DD40032" w14:textId="6ED038C7" w:rsidR="00720A34" w:rsidRPr="00C03C94" w:rsidRDefault="00720A34" w:rsidP="00AB523F">
      <w:pPr>
        <w:pStyle w:val="ListParagraph"/>
        <w:numPr>
          <w:ilvl w:val="0"/>
          <w:numId w:val="26"/>
        </w:numPr>
        <w:spacing w:line="240" w:lineRule="auto"/>
        <w:jc w:val="both"/>
        <w:rPr>
          <w:rFonts w:ascii="Arial" w:eastAsia="Arial" w:hAnsi="Arial" w:cs="Arial"/>
        </w:rPr>
      </w:pPr>
      <w:r w:rsidRPr="00C03C94">
        <w:rPr>
          <w:rFonts w:ascii="Arial" w:hAnsi="Arial" w:cs="Arial"/>
          <w:szCs w:val="22"/>
        </w:rPr>
        <w:t>A National Productivity Investment Fund (NPIF) which will provide an additional £1.1 billion by 2020-21 in new funding to relieve congestion and deliver much-needed upgrades on local roads and public transport networks (</w:t>
      </w:r>
      <w:r w:rsidRPr="00C03C94">
        <w:rPr>
          <w:rFonts w:ascii="Arial" w:eastAsia="Arial" w:hAnsi="Arial" w:cs="Arial"/>
          <w:i/>
        </w:rPr>
        <w:t xml:space="preserve">Page 28, </w:t>
      </w:r>
      <w:r w:rsidR="00BA6A7D">
        <w:rPr>
          <w:rFonts w:ascii="Arial" w:eastAsia="Arial" w:hAnsi="Arial" w:cs="Arial"/>
          <w:i/>
        </w:rPr>
        <w:t>p</w:t>
      </w:r>
      <w:r w:rsidRPr="00C03C94">
        <w:rPr>
          <w:rFonts w:ascii="Arial" w:eastAsia="Arial" w:hAnsi="Arial" w:cs="Arial"/>
          <w:i/>
        </w:rPr>
        <w:t>aragraph 3.17)</w:t>
      </w:r>
      <w:r w:rsidR="00EB7712">
        <w:rPr>
          <w:rFonts w:ascii="Arial" w:eastAsia="Arial" w:hAnsi="Arial" w:cs="Arial"/>
          <w:i/>
        </w:rPr>
        <w:t>.</w:t>
      </w:r>
    </w:p>
    <w:p w14:paraId="49186BA2" w14:textId="77777777" w:rsidR="00720A34" w:rsidRPr="00C03C94" w:rsidRDefault="00720A34" w:rsidP="00720A34">
      <w:pPr>
        <w:spacing w:line="240" w:lineRule="auto"/>
        <w:jc w:val="both"/>
        <w:rPr>
          <w:rFonts w:ascii="Arial" w:eastAsia="Arial" w:hAnsi="Arial" w:cs="Arial"/>
        </w:rPr>
      </w:pPr>
    </w:p>
    <w:p w14:paraId="48E60E3A" w14:textId="12E4FC09" w:rsidR="00720A34" w:rsidRPr="00C03C94" w:rsidRDefault="00720A34" w:rsidP="00720A34">
      <w:pPr>
        <w:spacing w:line="240" w:lineRule="auto"/>
        <w:jc w:val="both"/>
        <w:rPr>
          <w:rFonts w:ascii="Arial" w:eastAsia="Arial" w:hAnsi="Arial" w:cs="Arial"/>
          <w:b/>
        </w:rPr>
      </w:pPr>
      <w:r w:rsidRPr="00C03C94">
        <w:rPr>
          <w:rFonts w:ascii="Arial" w:eastAsia="Arial" w:hAnsi="Arial" w:cs="Arial"/>
          <w:b/>
        </w:rPr>
        <w:t xml:space="preserve">LGA </w:t>
      </w:r>
      <w:r w:rsidR="00BA6A7D">
        <w:rPr>
          <w:rFonts w:ascii="Arial" w:eastAsia="Arial" w:hAnsi="Arial" w:cs="Arial"/>
          <w:b/>
        </w:rPr>
        <w:t>v</w:t>
      </w:r>
      <w:r w:rsidRPr="00C03C94">
        <w:rPr>
          <w:rFonts w:ascii="Arial" w:eastAsia="Arial" w:hAnsi="Arial" w:cs="Arial"/>
          <w:b/>
        </w:rPr>
        <w:t>iew:</w:t>
      </w:r>
    </w:p>
    <w:p w14:paraId="3CBCA1E2" w14:textId="77777777" w:rsidR="00720A34" w:rsidRPr="00C03C94" w:rsidRDefault="00720A34" w:rsidP="00720A34">
      <w:pPr>
        <w:spacing w:line="240" w:lineRule="auto"/>
        <w:jc w:val="both"/>
        <w:rPr>
          <w:rFonts w:ascii="Arial" w:eastAsia="Arial" w:hAnsi="Arial" w:cs="Arial"/>
        </w:rPr>
      </w:pPr>
    </w:p>
    <w:p w14:paraId="2B9B3AA3" w14:textId="77777777" w:rsidR="00720A34" w:rsidRPr="00C03C94" w:rsidRDefault="00720A34" w:rsidP="00AB523F">
      <w:pPr>
        <w:pStyle w:val="ListParagraph"/>
        <w:numPr>
          <w:ilvl w:val="0"/>
          <w:numId w:val="25"/>
        </w:numPr>
        <w:jc w:val="both"/>
        <w:rPr>
          <w:rFonts w:ascii="Arial" w:hAnsi="Arial"/>
        </w:rPr>
      </w:pPr>
      <w:r w:rsidRPr="00C03C94">
        <w:rPr>
          <w:rFonts w:ascii="Arial" w:hAnsi="Arial" w:cs="Arial"/>
          <w:szCs w:val="22"/>
        </w:rPr>
        <w:t xml:space="preserve">The increase in funding for our local roads is a step in the right direction but further detail is needed as to how councils will be able to use this additional resource towards local roads and public transport to help local people and businesses.  We are pleased that the Government seems have listened to us on the importance of investing in local roads, particularly those that are heavily congested.  </w:t>
      </w:r>
    </w:p>
    <w:p w14:paraId="7D254964" w14:textId="77777777" w:rsidR="00720A34" w:rsidRPr="00C03C94" w:rsidRDefault="00720A34" w:rsidP="00AB523F">
      <w:pPr>
        <w:jc w:val="both"/>
        <w:rPr>
          <w:rFonts w:ascii="Arial" w:hAnsi="Arial" w:cs="Arial"/>
          <w:szCs w:val="22"/>
        </w:rPr>
      </w:pPr>
    </w:p>
    <w:p w14:paraId="1A7D7ACA" w14:textId="77777777" w:rsidR="00720A34" w:rsidRPr="00C03C94" w:rsidRDefault="00720A34" w:rsidP="00AB523F">
      <w:pPr>
        <w:pStyle w:val="ListParagraph"/>
        <w:numPr>
          <w:ilvl w:val="0"/>
          <w:numId w:val="24"/>
        </w:numPr>
        <w:jc w:val="both"/>
        <w:rPr>
          <w:rFonts w:ascii="Arial" w:hAnsi="Arial" w:cs="Arial"/>
          <w:szCs w:val="22"/>
        </w:rPr>
      </w:pPr>
      <w:r w:rsidRPr="00C03C94">
        <w:rPr>
          <w:rFonts w:ascii="Arial" w:hAnsi="Arial" w:cs="Arial"/>
          <w:szCs w:val="22"/>
        </w:rPr>
        <w:t xml:space="preserve">However this does little to help councils tackle the backlog of repairs on existing roads, which currently stands at £12 billion and take 14 years to fix the backlog of potholes. Over the remaining years of the decade the Government will invest more than £1.1 million per mile in maintaining national roads - which make up just 3 per cent of all total roads. This level of investment contrasts starkly with the £27,000 per mile investment in maintaining local roads, which are controlled by councils and make up 97 per cent of England’s road network. Councils need the ability to plan vital roads infrastructure for the long-term as is the case for the national roads and rail networks. </w:t>
      </w:r>
    </w:p>
    <w:p w14:paraId="5ADC5BCB" w14:textId="77777777" w:rsidR="00720A34" w:rsidRPr="00C03C94" w:rsidRDefault="00720A34" w:rsidP="00720A34">
      <w:pPr>
        <w:rPr>
          <w:rFonts w:ascii="Arial" w:hAnsi="Arial" w:cs="Arial"/>
          <w:szCs w:val="22"/>
        </w:rPr>
      </w:pPr>
    </w:p>
    <w:p w14:paraId="3179A9CB" w14:textId="77777777" w:rsidR="0002051F" w:rsidRDefault="0002051F" w:rsidP="00720A34">
      <w:pPr>
        <w:rPr>
          <w:rFonts w:ascii="Arial" w:hAnsi="Arial" w:cs="Arial"/>
          <w:b/>
          <w:szCs w:val="22"/>
          <w:u w:val="single"/>
        </w:rPr>
      </w:pPr>
    </w:p>
    <w:p w14:paraId="23739947" w14:textId="77777777" w:rsidR="0002051F" w:rsidRDefault="0002051F" w:rsidP="00720A34">
      <w:pPr>
        <w:rPr>
          <w:rFonts w:ascii="Arial" w:hAnsi="Arial" w:cs="Arial"/>
          <w:b/>
          <w:szCs w:val="22"/>
          <w:u w:val="single"/>
        </w:rPr>
      </w:pPr>
    </w:p>
    <w:p w14:paraId="4D870A1F" w14:textId="0320E2EB" w:rsidR="00720A34" w:rsidRPr="00C03C94" w:rsidRDefault="00BA6A7D" w:rsidP="00720A34">
      <w:pPr>
        <w:rPr>
          <w:rFonts w:ascii="Arial" w:hAnsi="Arial" w:cs="Arial"/>
          <w:b/>
          <w:szCs w:val="22"/>
          <w:u w:val="single"/>
        </w:rPr>
      </w:pPr>
      <w:r>
        <w:rPr>
          <w:rFonts w:ascii="Arial" w:hAnsi="Arial" w:cs="Arial"/>
          <w:b/>
          <w:szCs w:val="22"/>
          <w:u w:val="single"/>
        </w:rPr>
        <w:t>Digital i</w:t>
      </w:r>
      <w:r w:rsidR="00720A34" w:rsidRPr="00C03C94">
        <w:rPr>
          <w:rFonts w:ascii="Arial" w:hAnsi="Arial" w:cs="Arial"/>
          <w:b/>
          <w:szCs w:val="22"/>
          <w:u w:val="single"/>
        </w:rPr>
        <w:t>nfrastructure</w:t>
      </w:r>
    </w:p>
    <w:p w14:paraId="509C2093" w14:textId="77777777" w:rsidR="00720A34" w:rsidRPr="00C03C94" w:rsidRDefault="00720A34" w:rsidP="00720A34">
      <w:pPr>
        <w:rPr>
          <w:rFonts w:ascii="Arial" w:eastAsia="Arial" w:hAnsi="Arial" w:cs="Arial"/>
        </w:rPr>
      </w:pPr>
    </w:p>
    <w:p w14:paraId="109A9507" w14:textId="77777777" w:rsidR="00720A34" w:rsidRPr="00C03C94" w:rsidRDefault="00720A34" w:rsidP="00720A34">
      <w:pPr>
        <w:rPr>
          <w:rFonts w:ascii="Arial" w:eastAsia="Arial" w:hAnsi="Arial" w:cs="Arial"/>
          <w:b/>
        </w:rPr>
      </w:pPr>
      <w:r w:rsidRPr="00C03C94">
        <w:rPr>
          <w:rFonts w:ascii="Arial" w:eastAsia="Arial" w:hAnsi="Arial" w:cs="Arial"/>
          <w:b/>
        </w:rPr>
        <w:t>The Chancellor has announced:</w:t>
      </w:r>
    </w:p>
    <w:p w14:paraId="1553D70E" w14:textId="77777777" w:rsidR="00720A34" w:rsidRPr="00C03C94" w:rsidRDefault="00720A34" w:rsidP="00720A34">
      <w:pPr>
        <w:rPr>
          <w:rFonts w:ascii="Arial" w:eastAsia="Arial" w:hAnsi="Arial" w:cs="Arial"/>
          <w:b/>
        </w:rPr>
      </w:pPr>
    </w:p>
    <w:p w14:paraId="4C6DFFB0" w14:textId="14C1B360" w:rsidR="00720A34" w:rsidRPr="00C03C94" w:rsidRDefault="005D2F12" w:rsidP="00AB523F">
      <w:pPr>
        <w:pStyle w:val="ListParagraph"/>
        <w:widowControl/>
        <w:numPr>
          <w:ilvl w:val="0"/>
          <w:numId w:val="38"/>
        </w:numPr>
        <w:spacing w:line="240" w:lineRule="auto"/>
        <w:ind w:left="360"/>
        <w:jc w:val="both"/>
        <w:rPr>
          <w:rFonts w:ascii="Arial" w:hAnsi="Arial"/>
        </w:rPr>
      </w:pPr>
      <w:r>
        <w:rPr>
          <w:rFonts w:ascii="Arial" w:hAnsi="Arial" w:cs="Arial"/>
          <w:szCs w:val="22"/>
        </w:rPr>
        <w:t xml:space="preserve">The </w:t>
      </w:r>
      <w:r w:rsidR="00720A34" w:rsidRPr="00C03C94">
        <w:rPr>
          <w:rFonts w:ascii="Arial" w:hAnsi="Arial" w:cs="Arial"/>
          <w:szCs w:val="22"/>
        </w:rPr>
        <w:t>Government will inve</w:t>
      </w:r>
      <w:r w:rsidR="00BA6A7D">
        <w:rPr>
          <w:rFonts w:ascii="Arial" w:hAnsi="Arial" w:cs="Arial"/>
          <w:szCs w:val="22"/>
        </w:rPr>
        <w:t>st more than £1 billion by 2020/</w:t>
      </w:r>
      <w:r w:rsidR="00720A34" w:rsidRPr="00C03C94">
        <w:rPr>
          <w:rFonts w:ascii="Arial" w:hAnsi="Arial" w:cs="Arial"/>
          <w:szCs w:val="22"/>
        </w:rPr>
        <w:t xml:space="preserve">21, including £740 million through the National Productivity Investment Fund, targeted at supporting the market to roll out full-fibre connections and future 5G communications. </w:t>
      </w:r>
    </w:p>
    <w:p w14:paraId="32F6E758" w14:textId="77777777" w:rsidR="00720A34" w:rsidRPr="00C03C94" w:rsidRDefault="00720A34" w:rsidP="00AB523F">
      <w:pPr>
        <w:jc w:val="both"/>
        <w:rPr>
          <w:rFonts w:ascii="Arial" w:hAnsi="Arial" w:cs="Arial"/>
          <w:szCs w:val="22"/>
        </w:rPr>
      </w:pPr>
    </w:p>
    <w:p w14:paraId="4515DDBB" w14:textId="0738BAF9" w:rsidR="00720A34" w:rsidRPr="00C03C94" w:rsidRDefault="00720A34" w:rsidP="00AB523F">
      <w:pPr>
        <w:pStyle w:val="ListParagraph"/>
        <w:widowControl/>
        <w:numPr>
          <w:ilvl w:val="0"/>
          <w:numId w:val="38"/>
        </w:numPr>
        <w:spacing w:line="240" w:lineRule="auto"/>
        <w:ind w:left="360"/>
        <w:jc w:val="both"/>
        <w:rPr>
          <w:rFonts w:ascii="Arial" w:hAnsi="Arial" w:cs="Arial"/>
          <w:szCs w:val="22"/>
        </w:rPr>
      </w:pPr>
      <w:r w:rsidRPr="00C03C94">
        <w:rPr>
          <w:rFonts w:ascii="Arial" w:hAnsi="Arial" w:cs="Arial"/>
          <w:szCs w:val="22"/>
        </w:rPr>
        <w:t xml:space="preserve">This also includes £400 million for a new Digital Infrastructure Investment Fund, at least matched by private finance, to invest in new fibre networks over the next </w:t>
      </w:r>
      <w:r w:rsidR="00BA6A7D">
        <w:rPr>
          <w:rFonts w:ascii="Arial" w:hAnsi="Arial" w:cs="Arial"/>
          <w:szCs w:val="22"/>
        </w:rPr>
        <w:t>four</w:t>
      </w:r>
      <w:r w:rsidRPr="00C03C94">
        <w:rPr>
          <w:rFonts w:ascii="Arial" w:hAnsi="Arial" w:cs="Arial"/>
          <w:szCs w:val="22"/>
        </w:rPr>
        <w:t xml:space="preserve"> years.</w:t>
      </w:r>
    </w:p>
    <w:p w14:paraId="72E822B3" w14:textId="77777777" w:rsidR="00720A34" w:rsidRPr="00C03C94" w:rsidRDefault="00720A34" w:rsidP="00AB523F">
      <w:pPr>
        <w:jc w:val="both"/>
        <w:rPr>
          <w:rFonts w:ascii="Arial" w:hAnsi="Arial" w:cs="Arial"/>
          <w:szCs w:val="22"/>
        </w:rPr>
      </w:pPr>
    </w:p>
    <w:p w14:paraId="4E883014" w14:textId="68E7F23B" w:rsidR="00720A34" w:rsidRPr="00C03C94" w:rsidRDefault="00720A34" w:rsidP="00AB523F">
      <w:pPr>
        <w:pStyle w:val="ListParagraph"/>
        <w:widowControl/>
        <w:numPr>
          <w:ilvl w:val="0"/>
          <w:numId w:val="38"/>
        </w:numPr>
        <w:spacing w:line="240" w:lineRule="auto"/>
        <w:ind w:left="360"/>
        <w:jc w:val="both"/>
        <w:rPr>
          <w:rFonts w:ascii="Arial" w:hAnsi="Arial" w:cs="Arial"/>
          <w:szCs w:val="22"/>
        </w:rPr>
      </w:pPr>
      <w:r w:rsidRPr="00C03C94">
        <w:rPr>
          <w:rFonts w:ascii="Arial" w:hAnsi="Arial" w:cs="Arial"/>
          <w:szCs w:val="22"/>
        </w:rPr>
        <w:t xml:space="preserve">There will also be a new 100 per cent business rates relief for new full-fibre infrastructure for a </w:t>
      </w:r>
      <w:r w:rsidR="00BA6A7D">
        <w:rPr>
          <w:rFonts w:ascii="Arial" w:hAnsi="Arial" w:cs="Arial"/>
          <w:szCs w:val="22"/>
        </w:rPr>
        <w:t>five</w:t>
      </w:r>
      <w:r w:rsidRPr="00C03C94">
        <w:rPr>
          <w:rFonts w:ascii="Arial" w:hAnsi="Arial" w:cs="Arial"/>
          <w:szCs w:val="22"/>
        </w:rPr>
        <w:t xml:space="preserve"> year period from 1 April 2017 (</w:t>
      </w:r>
      <w:r w:rsidRPr="00C03C94">
        <w:rPr>
          <w:rFonts w:ascii="Arial" w:hAnsi="Arial" w:cs="Arial"/>
          <w:i/>
          <w:szCs w:val="22"/>
        </w:rPr>
        <w:t xml:space="preserve">Page 28, </w:t>
      </w:r>
      <w:r w:rsidR="00BA6A7D">
        <w:rPr>
          <w:rFonts w:ascii="Arial" w:hAnsi="Arial" w:cs="Arial"/>
          <w:i/>
          <w:szCs w:val="22"/>
        </w:rPr>
        <w:t>p</w:t>
      </w:r>
      <w:r w:rsidRPr="00C03C94">
        <w:rPr>
          <w:rFonts w:ascii="Arial" w:hAnsi="Arial" w:cs="Arial"/>
          <w:i/>
          <w:szCs w:val="22"/>
        </w:rPr>
        <w:t>aragraph 3.20</w:t>
      </w:r>
      <w:r w:rsidRPr="00C03C94">
        <w:rPr>
          <w:rFonts w:ascii="Arial" w:hAnsi="Arial" w:cs="Arial"/>
          <w:szCs w:val="22"/>
        </w:rPr>
        <w:t>)</w:t>
      </w:r>
      <w:r w:rsidR="00EB7712">
        <w:rPr>
          <w:rFonts w:ascii="Arial" w:hAnsi="Arial" w:cs="Arial"/>
          <w:szCs w:val="22"/>
        </w:rPr>
        <w:t>.</w:t>
      </w:r>
    </w:p>
    <w:p w14:paraId="59A93D44" w14:textId="77777777" w:rsidR="00720A34" w:rsidRPr="00C03C94" w:rsidRDefault="00720A34" w:rsidP="00720A34">
      <w:pPr>
        <w:pStyle w:val="ListParagraph"/>
        <w:rPr>
          <w:rFonts w:ascii="Arial" w:hAnsi="Arial" w:cs="Arial"/>
          <w:szCs w:val="22"/>
        </w:rPr>
      </w:pPr>
    </w:p>
    <w:p w14:paraId="4CA036EA" w14:textId="31FF498E" w:rsidR="00720A34" w:rsidRPr="00C03C94" w:rsidRDefault="00720A34" w:rsidP="00720A34">
      <w:pPr>
        <w:widowControl/>
        <w:spacing w:line="240" w:lineRule="auto"/>
        <w:rPr>
          <w:rFonts w:ascii="Arial" w:hAnsi="Arial" w:cs="Arial"/>
          <w:b/>
          <w:szCs w:val="22"/>
        </w:rPr>
      </w:pPr>
      <w:r w:rsidRPr="00C03C94">
        <w:rPr>
          <w:rFonts w:ascii="Arial" w:hAnsi="Arial" w:cs="Arial"/>
          <w:b/>
          <w:szCs w:val="22"/>
        </w:rPr>
        <w:t>LGA view:</w:t>
      </w:r>
    </w:p>
    <w:p w14:paraId="39678759" w14:textId="77777777" w:rsidR="00720A34" w:rsidRPr="00C03C94" w:rsidRDefault="00720A34" w:rsidP="00720A34">
      <w:pPr>
        <w:rPr>
          <w:rFonts w:ascii="Arial" w:hAnsi="Arial" w:cs="Arial"/>
          <w:szCs w:val="22"/>
        </w:rPr>
      </w:pPr>
    </w:p>
    <w:p w14:paraId="53C04117" w14:textId="77777777" w:rsidR="00720A34" w:rsidRPr="00C03C94" w:rsidRDefault="00720A34" w:rsidP="00AB523F">
      <w:pPr>
        <w:pStyle w:val="ListParagraph"/>
        <w:widowControl/>
        <w:numPr>
          <w:ilvl w:val="0"/>
          <w:numId w:val="39"/>
        </w:numPr>
        <w:spacing w:line="240" w:lineRule="auto"/>
        <w:jc w:val="both"/>
        <w:rPr>
          <w:rFonts w:ascii="Arial" w:hAnsi="Arial"/>
        </w:rPr>
      </w:pPr>
      <w:r w:rsidRPr="00C03C94">
        <w:rPr>
          <w:rFonts w:ascii="Arial" w:hAnsi="Arial" w:cs="Arial"/>
          <w:szCs w:val="22"/>
        </w:rPr>
        <w:t>Access to fast and reliable digital connectivity is a necessity for households and businesses across the UK. While the announcement of new investment for digital infrastructure is good news, Government must not lose sight of the needs of rural communities already struggling to receive a basic broadband service.</w:t>
      </w:r>
    </w:p>
    <w:p w14:paraId="118DEE71" w14:textId="77777777" w:rsidR="00720A34" w:rsidRPr="00C03C94" w:rsidRDefault="00720A34" w:rsidP="00AB523F">
      <w:pPr>
        <w:jc w:val="both"/>
        <w:rPr>
          <w:rFonts w:ascii="Arial" w:hAnsi="Arial" w:cs="Arial"/>
          <w:szCs w:val="22"/>
        </w:rPr>
      </w:pPr>
    </w:p>
    <w:p w14:paraId="0D012BC9" w14:textId="77777777" w:rsidR="00720A34" w:rsidRPr="00C03C94" w:rsidRDefault="00720A34" w:rsidP="00AB523F">
      <w:pPr>
        <w:pStyle w:val="ListParagraph"/>
        <w:widowControl/>
        <w:numPr>
          <w:ilvl w:val="0"/>
          <w:numId w:val="39"/>
        </w:numPr>
        <w:spacing w:line="240" w:lineRule="auto"/>
        <w:jc w:val="both"/>
        <w:rPr>
          <w:rFonts w:ascii="Arial" w:hAnsi="Arial" w:cs="Arial"/>
          <w:szCs w:val="22"/>
        </w:rPr>
      </w:pPr>
      <w:r w:rsidRPr="00C03C94">
        <w:rPr>
          <w:rFonts w:ascii="Arial" w:hAnsi="Arial" w:cs="Arial"/>
          <w:szCs w:val="22"/>
        </w:rPr>
        <w:t xml:space="preserve">To fully benefit these communities this fund will need to encourage and help scale up smaller suppliers with the ambition to work outside the low-hanging fruit of better connected areas. The Government must also strengthen its Universal Service Obligation with a minimum download speed which rises in tandem with national averages, and obligations on suppliers to provide a minimum level of upload speed. </w:t>
      </w:r>
    </w:p>
    <w:p w14:paraId="00F9837B" w14:textId="77777777" w:rsidR="00720A34" w:rsidRPr="00C03C94" w:rsidRDefault="00720A34" w:rsidP="00AB523F">
      <w:pPr>
        <w:jc w:val="both"/>
        <w:rPr>
          <w:rFonts w:ascii="Arial" w:hAnsi="Arial" w:cs="Arial"/>
          <w:szCs w:val="22"/>
        </w:rPr>
      </w:pPr>
    </w:p>
    <w:p w14:paraId="7F35C7C4" w14:textId="77777777" w:rsidR="00720A34" w:rsidRPr="00C03C94" w:rsidRDefault="00720A34" w:rsidP="00AB523F">
      <w:pPr>
        <w:pStyle w:val="ListParagraph"/>
        <w:widowControl/>
        <w:numPr>
          <w:ilvl w:val="0"/>
          <w:numId w:val="39"/>
        </w:numPr>
        <w:spacing w:line="240" w:lineRule="auto"/>
        <w:jc w:val="both"/>
        <w:rPr>
          <w:rFonts w:ascii="Arial" w:eastAsia="Arial" w:hAnsi="Arial" w:cs="Arial"/>
          <w:szCs w:val="22"/>
        </w:rPr>
      </w:pPr>
      <w:r w:rsidRPr="00C03C94">
        <w:rPr>
          <w:rFonts w:ascii="Arial" w:hAnsi="Arial" w:cs="Arial"/>
          <w:szCs w:val="22"/>
        </w:rPr>
        <w:t>While the announcement of significant new investment in 5G technology has the potential to make Britain a global leader in mobile digital connectivity, many outside our larger cities currently struggle to access 4G or even 3G technology. Local government is committed to exploring with the mobile industry, regulators and Government how best to ensure residents across the country can benefit from public investment in new technology, wherever they live.</w:t>
      </w:r>
      <w:r w:rsidRPr="00C03C94">
        <w:rPr>
          <w:rFonts w:ascii="Arial" w:eastAsia="Arial" w:hAnsi="Arial" w:cs="Arial"/>
          <w:b/>
          <w:vanish/>
        </w:rPr>
        <w:t>ncellor has announced:</w:t>
      </w:r>
      <w:r w:rsidRPr="00C03C94">
        <w:rPr>
          <w:rFonts w:ascii="Arial" w:eastAsia="Arial" w:hAnsi="Arial" w:cs="Arial"/>
          <w:b/>
          <w:vanish/>
        </w:rPr>
        <w:cr/>
        <w:t>2%</w:t>
      </w:r>
    </w:p>
    <w:p w14:paraId="2BBCD2EC" w14:textId="77777777" w:rsidR="00B26462" w:rsidRPr="00C03C94" w:rsidRDefault="00B26462" w:rsidP="00AB523F">
      <w:pPr>
        <w:pStyle w:val="ListParagraph"/>
        <w:jc w:val="both"/>
        <w:rPr>
          <w:rFonts w:ascii="Arial" w:eastAsia="Arial" w:hAnsi="Arial" w:cs="Arial"/>
          <w:szCs w:val="22"/>
        </w:rPr>
      </w:pPr>
    </w:p>
    <w:p w14:paraId="72F4931E" w14:textId="37DAC8A4" w:rsidR="00B26462" w:rsidRPr="00C03C94" w:rsidRDefault="00B26462" w:rsidP="00AB523F">
      <w:pPr>
        <w:pStyle w:val="ListParagraph"/>
        <w:widowControl/>
        <w:numPr>
          <w:ilvl w:val="0"/>
          <w:numId w:val="39"/>
        </w:numPr>
        <w:spacing w:line="240" w:lineRule="auto"/>
        <w:jc w:val="both"/>
        <w:rPr>
          <w:rFonts w:ascii="Arial" w:hAnsi="Arial" w:cs="Arial"/>
        </w:rPr>
      </w:pPr>
      <w:r w:rsidRPr="00C03C94">
        <w:rPr>
          <w:rFonts w:ascii="Arial" w:hAnsi="Arial" w:cs="Arial"/>
        </w:rPr>
        <w:t>We understand that the business rates relief measures will be fully funded by central government.  Measures such as this reduce the quantum available for business rates retention. We call on the Government to make it clear that this will also apply after the introduction of full business rates retention.</w:t>
      </w:r>
    </w:p>
    <w:p w14:paraId="4D3DB259" w14:textId="77777777" w:rsidR="00720A34" w:rsidRPr="00C03C94" w:rsidRDefault="00720A34" w:rsidP="00AB523F">
      <w:pPr>
        <w:pStyle w:val="ListParagraph"/>
        <w:jc w:val="both"/>
        <w:rPr>
          <w:rFonts w:ascii="Arial" w:eastAsia="Arial" w:hAnsi="Arial" w:cs="Arial"/>
          <w:szCs w:val="22"/>
        </w:rPr>
      </w:pPr>
    </w:p>
    <w:p w14:paraId="52EFE75C" w14:textId="77777777" w:rsidR="00720A34" w:rsidRPr="00C03C94" w:rsidRDefault="00720A34" w:rsidP="00AB523F">
      <w:pPr>
        <w:pStyle w:val="ListParagraph"/>
        <w:widowControl/>
        <w:numPr>
          <w:ilvl w:val="0"/>
          <w:numId w:val="39"/>
        </w:numPr>
        <w:spacing w:line="240" w:lineRule="auto"/>
        <w:jc w:val="both"/>
        <w:rPr>
          <w:rFonts w:ascii="Arial" w:hAnsi="Arial" w:cs="Arial"/>
        </w:rPr>
      </w:pPr>
      <w:r w:rsidRPr="00C03C94">
        <w:rPr>
          <w:rFonts w:ascii="Arial" w:hAnsi="Arial" w:cs="Arial"/>
        </w:rPr>
        <w:t>Local government has already committed over £700 million through the Superfast Broadband Programme to help suppliers connect hard to reach residents.</w:t>
      </w:r>
    </w:p>
    <w:p w14:paraId="588B84E5" w14:textId="77777777" w:rsidR="00720A34" w:rsidRPr="00C03C94" w:rsidRDefault="00720A34" w:rsidP="00720A34"/>
    <w:p w14:paraId="6F3A72D7" w14:textId="5AE4D2C1" w:rsidR="00840A47" w:rsidRPr="00C03C94" w:rsidRDefault="004E0545" w:rsidP="00AE3E83">
      <w:pPr>
        <w:spacing w:line="240" w:lineRule="auto"/>
        <w:jc w:val="both"/>
        <w:rPr>
          <w:rFonts w:ascii="Arial" w:eastAsia="Arial" w:hAnsi="Arial" w:cs="Arial"/>
          <w:b/>
          <w:u w:val="single"/>
        </w:rPr>
      </w:pPr>
      <w:r w:rsidRPr="00C03C94">
        <w:rPr>
          <w:rFonts w:ascii="Arial" w:eastAsia="Arial" w:hAnsi="Arial" w:cs="Arial"/>
          <w:b/>
          <w:u w:val="single"/>
        </w:rPr>
        <w:t>Devolution</w:t>
      </w:r>
    </w:p>
    <w:p w14:paraId="5A892888" w14:textId="77777777" w:rsidR="004E0545" w:rsidRPr="00C03C94" w:rsidRDefault="004E0545" w:rsidP="00AE3E83">
      <w:pPr>
        <w:spacing w:line="240" w:lineRule="auto"/>
        <w:jc w:val="both"/>
        <w:rPr>
          <w:rFonts w:ascii="Arial" w:eastAsia="Arial" w:hAnsi="Arial" w:cs="Arial"/>
          <w:b/>
          <w:u w:val="single"/>
        </w:rPr>
      </w:pPr>
    </w:p>
    <w:p w14:paraId="2B143384" w14:textId="72B924F2" w:rsidR="004E0545" w:rsidRPr="00C03C94" w:rsidRDefault="004E0545" w:rsidP="00AE3E83">
      <w:pPr>
        <w:spacing w:line="240" w:lineRule="auto"/>
        <w:jc w:val="both"/>
        <w:rPr>
          <w:rFonts w:ascii="Arial" w:eastAsia="Arial" w:hAnsi="Arial" w:cs="Arial"/>
          <w:b/>
        </w:rPr>
      </w:pPr>
      <w:r w:rsidRPr="00C03C94">
        <w:rPr>
          <w:rFonts w:ascii="Arial" w:eastAsia="Arial" w:hAnsi="Arial" w:cs="Arial"/>
          <w:b/>
        </w:rPr>
        <w:t>The Chancellor announced:</w:t>
      </w:r>
    </w:p>
    <w:p w14:paraId="3C6E68D9" w14:textId="77777777" w:rsidR="004E0545" w:rsidRPr="00C03C94" w:rsidRDefault="004E0545" w:rsidP="00AE3E83">
      <w:pPr>
        <w:spacing w:line="240" w:lineRule="auto"/>
        <w:jc w:val="both"/>
        <w:rPr>
          <w:rFonts w:ascii="Arial" w:eastAsia="Arial" w:hAnsi="Arial" w:cs="Arial"/>
        </w:rPr>
      </w:pPr>
    </w:p>
    <w:p w14:paraId="680D6678" w14:textId="1E06C355" w:rsidR="004E0545" w:rsidRPr="00C03C94" w:rsidRDefault="004E0545" w:rsidP="00AB523F">
      <w:pPr>
        <w:pStyle w:val="NoSpacing"/>
        <w:numPr>
          <w:ilvl w:val="0"/>
          <w:numId w:val="19"/>
        </w:numPr>
        <w:jc w:val="both"/>
        <w:rPr>
          <w:rFonts w:ascii="Arial" w:hAnsi="Arial" w:cs="Arial"/>
          <w:sz w:val="22"/>
          <w:szCs w:val="22"/>
          <w:lang w:eastAsia="en-US"/>
        </w:rPr>
      </w:pPr>
      <w:r w:rsidRPr="00C03C94">
        <w:rPr>
          <w:rFonts w:ascii="Arial" w:hAnsi="Arial" w:cs="Arial"/>
          <w:sz w:val="22"/>
          <w:szCs w:val="22"/>
        </w:rPr>
        <w:t xml:space="preserve">Government remains committed to devolving powers to support local areas and that the Government will continue to work towards a second devolution deal with the West Midlands Combined Authority and will begin talks on future transport funding with Greater Manchester </w:t>
      </w:r>
      <w:r w:rsidRPr="00C03C94">
        <w:rPr>
          <w:rFonts w:ascii="Arial" w:hAnsi="Arial" w:cs="Arial"/>
          <w:i/>
          <w:sz w:val="22"/>
          <w:szCs w:val="22"/>
        </w:rPr>
        <w:t>(Page 33, paragraph 3.5).</w:t>
      </w:r>
    </w:p>
    <w:p w14:paraId="7AF42D1B" w14:textId="566AF84A" w:rsidR="004E0545" w:rsidRPr="00C03C94" w:rsidRDefault="004E0545" w:rsidP="00AB523F">
      <w:pPr>
        <w:pStyle w:val="NoSpacing"/>
        <w:ind w:left="720"/>
        <w:jc w:val="both"/>
        <w:rPr>
          <w:rFonts w:ascii="Arial" w:hAnsi="Arial" w:cs="Arial"/>
          <w:sz w:val="22"/>
          <w:szCs w:val="22"/>
          <w:lang w:eastAsia="en-US"/>
        </w:rPr>
      </w:pPr>
    </w:p>
    <w:p w14:paraId="04735727" w14:textId="048049FB" w:rsidR="004E0545" w:rsidRPr="00C03C94" w:rsidRDefault="004E0545" w:rsidP="00AB523F">
      <w:pPr>
        <w:pStyle w:val="NoSpacing"/>
        <w:numPr>
          <w:ilvl w:val="0"/>
          <w:numId w:val="19"/>
        </w:numPr>
        <w:jc w:val="both"/>
        <w:rPr>
          <w:rFonts w:ascii="Arial" w:hAnsi="Arial" w:cs="Arial"/>
          <w:sz w:val="22"/>
          <w:szCs w:val="22"/>
          <w:lang w:eastAsia="en-US"/>
        </w:rPr>
      </w:pPr>
      <w:r w:rsidRPr="00C03C94">
        <w:rPr>
          <w:rFonts w:ascii="Arial" w:hAnsi="Arial" w:cs="Arial"/>
          <w:sz w:val="22"/>
          <w:szCs w:val="22"/>
        </w:rPr>
        <w:t xml:space="preserve">Government will give mayoral combined authorities powers to borrow for their new functions, which will allow them to invest in economically productive infrastructure, subject to agreeing a borrowing cap with HM Treasury </w:t>
      </w:r>
      <w:r w:rsidRPr="00C03C94">
        <w:rPr>
          <w:rFonts w:ascii="Arial" w:hAnsi="Arial" w:cs="Arial"/>
          <w:i/>
          <w:sz w:val="22"/>
          <w:szCs w:val="22"/>
        </w:rPr>
        <w:t>(Page 33, paragraph 3.49).</w:t>
      </w:r>
    </w:p>
    <w:p w14:paraId="2C51013B" w14:textId="77777777" w:rsidR="008773F0" w:rsidRPr="00C03C94" w:rsidRDefault="008773F0" w:rsidP="00AB523F">
      <w:pPr>
        <w:pStyle w:val="ListParagraph"/>
        <w:jc w:val="both"/>
        <w:rPr>
          <w:rFonts w:ascii="Arial" w:hAnsi="Arial" w:cs="Arial"/>
          <w:szCs w:val="22"/>
        </w:rPr>
      </w:pPr>
    </w:p>
    <w:p w14:paraId="1BE858FD" w14:textId="540D1062" w:rsidR="008773F0" w:rsidRPr="00C03C94" w:rsidRDefault="008773F0" w:rsidP="00AB523F">
      <w:pPr>
        <w:pStyle w:val="ListParagraph"/>
        <w:numPr>
          <w:ilvl w:val="0"/>
          <w:numId w:val="19"/>
        </w:numPr>
        <w:jc w:val="both"/>
        <w:rPr>
          <w:rFonts w:ascii="Arial" w:hAnsi="Arial" w:cs="Arial"/>
          <w:i/>
          <w:iCs/>
        </w:rPr>
      </w:pPr>
      <w:r w:rsidRPr="00C03C94">
        <w:rPr>
          <w:rFonts w:ascii="Arial" w:hAnsi="Arial" w:cs="Arial"/>
        </w:rPr>
        <w:t xml:space="preserve">The Government has published a strategy setting out an overall approach to building the Northern Powerhouse, through addressing the key barriers to productivity that the region faces. The </w:t>
      </w:r>
      <w:r w:rsidR="005D2F12">
        <w:rPr>
          <w:rFonts w:ascii="Arial" w:hAnsi="Arial" w:cs="Arial"/>
        </w:rPr>
        <w:t>G</w:t>
      </w:r>
      <w:r w:rsidRPr="00C03C94">
        <w:rPr>
          <w:rFonts w:ascii="Arial" w:hAnsi="Arial" w:cs="Arial"/>
        </w:rPr>
        <w:t>overnment will also publish a Midlands Engine strategy shortly (</w:t>
      </w:r>
      <w:r w:rsidRPr="00C03C94">
        <w:rPr>
          <w:rFonts w:ascii="Arial" w:hAnsi="Arial" w:cs="Arial"/>
          <w:i/>
          <w:iCs/>
        </w:rPr>
        <w:t>Page 33, paragraph 3.51).</w:t>
      </w:r>
    </w:p>
    <w:p w14:paraId="07FA0B30" w14:textId="77777777" w:rsidR="004E0545" w:rsidRPr="00C03C94" w:rsidRDefault="004E0545" w:rsidP="004E0545">
      <w:pPr>
        <w:pStyle w:val="NoSpacing"/>
        <w:rPr>
          <w:rFonts w:ascii="Arial" w:hAnsi="Arial" w:cs="Arial"/>
          <w:i/>
          <w:sz w:val="22"/>
          <w:szCs w:val="22"/>
        </w:rPr>
      </w:pPr>
    </w:p>
    <w:p w14:paraId="76578953" w14:textId="7BC396A2" w:rsidR="004E0545" w:rsidRPr="00C03C94" w:rsidRDefault="004E0545" w:rsidP="004E0545">
      <w:pPr>
        <w:pStyle w:val="NoSpacing"/>
        <w:rPr>
          <w:rFonts w:ascii="Arial" w:hAnsi="Arial" w:cs="Arial"/>
          <w:b/>
          <w:sz w:val="22"/>
          <w:szCs w:val="22"/>
        </w:rPr>
      </w:pPr>
      <w:r w:rsidRPr="00C03C94">
        <w:rPr>
          <w:rFonts w:ascii="Arial" w:hAnsi="Arial" w:cs="Arial"/>
          <w:b/>
          <w:sz w:val="22"/>
          <w:szCs w:val="22"/>
        </w:rPr>
        <w:t>LGA view:</w:t>
      </w:r>
    </w:p>
    <w:p w14:paraId="173C34D5" w14:textId="77777777" w:rsidR="004E0545" w:rsidRPr="00C03C94" w:rsidRDefault="004E0545" w:rsidP="004E0545">
      <w:pPr>
        <w:pStyle w:val="NoSpacing"/>
        <w:rPr>
          <w:rFonts w:ascii="Arial" w:hAnsi="Arial" w:cs="Arial"/>
          <w:sz w:val="22"/>
          <w:szCs w:val="22"/>
        </w:rPr>
      </w:pPr>
    </w:p>
    <w:p w14:paraId="5D0F3220" w14:textId="2CBC717C" w:rsidR="004E0545" w:rsidRPr="00C03C94" w:rsidRDefault="004E0545" w:rsidP="00AB523F">
      <w:pPr>
        <w:pStyle w:val="NoSpacing"/>
        <w:numPr>
          <w:ilvl w:val="0"/>
          <w:numId w:val="20"/>
        </w:numPr>
        <w:jc w:val="both"/>
        <w:rPr>
          <w:rFonts w:ascii="Arial" w:hAnsi="Arial" w:cs="Arial"/>
          <w:sz w:val="22"/>
          <w:szCs w:val="22"/>
          <w:lang w:eastAsia="en-US"/>
        </w:rPr>
      </w:pPr>
      <w:r w:rsidRPr="00C03C94">
        <w:rPr>
          <w:rFonts w:ascii="Arial" w:hAnsi="Arial" w:cs="Arial"/>
          <w:sz w:val="22"/>
          <w:szCs w:val="22"/>
        </w:rPr>
        <w:t xml:space="preserve">We are pleased </w:t>
      </w:r>
      <w:r w:rsidR="001024FF" w:rsidRPr="00C03C94">
        <w:rPr>
          <w:rFonts w:ascii="Arial" w:hAnsi="Arial" w:cs="Arial"/>
          <w:sz w:val="22"/>
          <w:szCs w:val="22"/>
        </w:rPr>
        <w:t>the</w:t>
      </w:r>
      <w:r w:rsidRPr="00C03C94">
        <w:rPr>
          <w:rFonts w:ascii="Arial" w:hAnsi="Arial" w:cs="Arial"/>
          <w:sz w:val="22"/>
          <w:szCs w:val="22"/>
        </w:rPr>
        <w:t xml:space="preserve"> Government</w:t>
      </w:r>
      <w:r w:rsidR="00457377" w:rsidRPr="00C03C94">
        <w:rPr>
          <w:rFonts w:ascii="Arial" w:hAnsi="Arial" w:cs="Arial"/>
          <w:sz w:val="22"/>
          <w:szCs w:val="22"/>
        </w:rPr>
        <w:t xml:space="preserve"> remains </w:t>
      </w:r>
      <w:r w:rsidRPr="00C03C94">
        <w:rPr>
          <w:rFonts w:ascii="Arial" w:hAnsi="Arial" w:cs="Arial"/>
          <w:sz w:val="22"/>
          <w:szCs w:val="22"/>
        </w:rPr>
        <w:t>commit</w:t>
      </w:r>
      <w:r w:rsidR="00457377" w:rsidRPr="00C03C94">
        <w:rPr>
          <w:rFonts w:ascii="Arial" w:hAnsi="Arial" w:cs="Arial"/>
          <w:sz w:val="22"/>
          <w:szCs w:val="22"/>
        </w:rPr>
        <w:t>ted</w:t>
      </w:r>
      <w:r w:rsidRPr="00C03C94">
        <w:rPr>
          <w:rFonts w:ascii="Arial" w:hAnsi="Arial" w:cs="Arial"/>
          <w:sz w:val="22"/>
          <w:szCs w:val="22"/>
        </w:rPr>
        <w:t xml:space="preserve"> to devolution but are disappointed not to see further devolution deal announcements </w:t>
      </w:r>
      <w:r w:rsidR="000C771D" w:rsidRPr="00C03C94">
        <w:rPr>
          <w:rFonts w:ascii="Arial" w:hAnsi="Arial" w:cs="Arial"/>
          <w:sz w:val="22"/>
          <w:szCs w:val="22"/>
        </w:rPr>
        <w:t xml:space="preserve">in the Autumn Statement. We are hopeful of further announcements, </w:t>
      </w:r>
      <w:r w:rsidRPr="00C03C94">
        <w:rPr>
          <w:rFonts w:ascii="Arial" w:hAnsi="Arial" w:cs="Arial"/>
          <w:sz w:val="22"/>
          <w:szCs w:val="22"/>
        </w:rPr>
        <w:t>particularly for non-metropolitan areas</w:t>
      </w:r>
      <w:r w:rsidR="000C771D" w:rsidRPr="00C03C94">
        <w:rPr>
          <w:rFonts w:ascii="Arial" w:hAnsi="Arial" w:cs="Arial"/>
          <w:sz w:val="22"/>
          <w:szCs w:val="22"/>
        </w:rPr>
        <w:t>, in due course</w:t>
      </w:r>
      <w:r w:rsidRPr="00C03C94">
        <w:rPr>
          <w:rFonts w:ascii="Arial" w:hAnsi="Arial" w:cs="Arial"/>
          <w:sz w:val="22"/>
          <w:szCs w:val="22"/>
        </w:rPr>
        <w:t xml:space="preserve">. Devolution </w:t>
      </w:r>
      <w:r w:rsidR="00414B97" w:rsidRPr="00C03C94">
        <w:rPr>
          <w:rFonts w:ascii="Arial" w:hAnsi="Arial" w:cs="Arial"/>
          <w:sz w:val="22"/>
          <w:szCs w:val="22"/>
        </w:rPr>
        <w:t>can have</w:t>
      </w:r>
      <w:r w:rsidRPr="00C03C94">
        <w:rPr>
          <w:rFonts w:ascii="Arial" w:hAnsi="Arial" w:cs="Arial"/>
          <w:sz w:val="22"/>
          <w:szCs w:val="22"/>
        </w:rPr>
        <w:t xml:space="preserve"> a positive impact on local communities, businesses and residents across the country, improving services and saving money. All areas want to grasp the full opportunities presented by having greater powers and funding to improve services such as skills, housing, transport and health and social care. </w:t>
      </w:r>
    </w:p>
    <w:p w14:paraId="2B02EEAC" w14:textId="77777777" w:rsidR="004E0545" w:rsidRPr="00C03C94" w:rsidRDefault="004E0545" w:rsidP="00AB523F">
      <w:pPr>
        <w:pStyle w:val="NoSpacing"/>
        <w:jc w:val="both"/>
        <w:rPr>
          <w:rFonts w:ascii="Arial" w:hAnsi="Arial" w:cs="Arial"/>
          <w:sz w:val="22"/>
          <w:szCs w:val="22"/>
        </w:rPr>
      </w:pPr>
    </w:p>
    <w:p w14:paraId="2A8B1401" w14:textId="77777777" w:rsidR="004E0545" w:rsidRPr="00C03C94" w:rsidRDefault="004E0545" w:rsidP="00AB523F">
      <w:pPr>
        <w:pStyle w:val="NoSpacing"/>
        <w:numPr>
          <w:ilvl w:val="0"/>
          <w:numId w:val="20"/>
        </w:numPr>
        <w:jc w:val="both"/>
        <w:rPr>
          <w:rFonts w:ascii="Arial" w:hAnsi="Arial" w:cs="Arial"/>
          <w:sz w:val="22"/>
          <w:szCs w:val="22"/>
        </w:rPr>
      </w:pPr>
      <w:r w:rsidRPr="00C03C94">
        <w:rPr>
          <w:rFonts w:ascii="Arial" w:hAnsi="Arial" w:cs="Arial"/>
          <w:sz w:val="22"/>
          <w:szCs w:val="22"/>
        </w:rPr>
        <w:t>If momentum on devolution is lost, billions of pounds worth of economic growth, hundreds of thousands of jobs and homes on offer through greater local leadership will be lost with it.</w:t>
      </w:r>
    </w:p>
    <w:p w14:paraId="348B23D6" w14:textId="77777777" w:rsidR="004E0545" w:rsidRPr="00C03C94" w:rsidRDefault="004E0545" w:rsidP="00AB523F">
      <w:pPr>
        <w:pStyle w:val="NoSpacing"/>
        <w:jc w:val="both"/>
        <w:rPr>
          <w:rFonts w:ascii="Arial" w:hAnsi="Arial" w:cs="Arial"/>
          <w:sz w:val="22"/>
          <w:szCs w:val="22"/>
        </w:rPr>
      </w:pPr>
    </w:p>
    <w:p w14:paraId="58EA886E" w14:textId="1ACF72F5" w:rsidR="004E0545" w:rsidRPr="00C03C94" w:rsidRDefault="004E0545" w:rsidP="00AB523F">
      <w:pPr>
        <w:pStyle w:val="NoSpacing"/>
        <w:numPr>
          <w:ilvl w:val="0"/>
          <w:numId w:val="20"/>
        </w:numPr>
        <w:jc w:val="both"/>
        <w:rPr>
          <w:rFonts w:ascii="Arial" w:hAnsi="Arial" w:cs="Arial"/>
          <w:sz w:val="22"/>
          <w:szCs w:val="22"/>
        </w:rPr>
      </w:pPr>
      <w:r w:rsidRPr="00C03C94">
        <w:rPr>
          <w:rFonts w:ascii="Arial" w:hAnsi="Arial" w:cs="Arial"/>
          <w:sz w:val="22"/>
          <w:szCs w:val="22"/>
        </w:rPr>
        <w:t>The Government needs to be more flexible in its negotiations and recognise that not all deals need to follow the same governance framework. This is vital to get more deals agreed quickly and to spark the widespread transfer of powers and responsibilities to the whole of England that can boost the economy and improve people's lives.</w:t>
      </w:r>
    </w:p>
    <w:p w14:paraId="3880CCF0" w14:textId="77777777" w:rsidR="004E0545" w:rsidRPr="00C03C94" w:rsidRDefault="004E0545" w:rsidP="00AB523F">
      <w:pPr>
        <w:autoSpaceDE w:val="0"/>
        <w:autoSpaceDN w:val="0"/>
        <w:spacing w:before="40" w:after="40"/>
        <w:jc w:val="both"/>
        <w:rPr>
          <w:rFonts w:ascii="Arial" w:hAnsi="Arial" w:cs="Arial"/>
          <w:szCs w:val="22"/>
        </w:rPr>
      </w:pPr>
    </w:p>
    <w:p w14:paraId="4042D905" w14:textId="77777777" w:rsidR="004E0545" w:rsidRPr="00C03C94" w:rsidRDefault="004E0545" w:rsidP="00AB523F">
      <w:pPr>
        <w:pStyle w:val="ListParagraph"/>
        <w:numPr>
          <w:ilvl w:val="0"/>
          <w:numId w:val="20"/>
        </w:numPr>
        <w:jc w:val="both"/>
        <w:rPr>
          <w:rFonts w:ascii="Arial" w:hAnsi="Arial" w:cs="Arial"/>
          <w:szCs w:val="22"/>
        </w:rPr>
      </w:pPr>
      <w:r w:rsidRPr="00C03C94">
        <w:rPr>
          <w:rFonts w:ascii="Arial" w:hAnsi="Arial" w:cs="Arial"/>
          <w:szCs w:val="22"/>
        </w:rPr>
        <w:t xml:space="preserve">We </w:t>
      </w:r>
      <w:r w:rsidRPr="00C03C94">
        <w:rPr>
          <w:rFonts w:ascii="Arial" w:hAnsi="Arial" w:cs="Arial"/>
          <w:szCs w:val="22"/>
          <w:lang w:eastAsia="en-GB"/>
        </w:rPr>
        <w:t xml:space="preserve">welcome the announcement to introduce new borrowing powers that reflect the broad range of combined authorities’ new functions. However, this should not be contingent on one particular governance model and should be available to all devolution deal areas. </w:t>
      </w:r>
      <w:r w:rsidRPr="00C03C94">
        <w:rPr>
          <w:rFonts w:ascii="Arial" w:hAnsi="Arial" w:cs="Arial"/>
          <w:szCs w:val="22"/>
        </w:rPr>
        <w:t>We also believe combined authorities should have the same power to borrow under the prudential regime that governs council borrowing and should not be subject to a cap imposed by the Treasury.</w:t>
      </w:r>
    </w:p>
    <w:p w14:paraId="34CE5850" w14:textId="77777777" w:rsidR="00840A47" w:rsidRPr="00C03C94" w:rsidRDefault="00840A47" w:rsidP="00AE3E83">
      <w:pPr>
        <w:spacing w:line="240" w:lineRule="auto"/>
        <w:jc w:val="both"/>
        <w:rPr>
          <w:rFonts w:ascii="Arial" w:eastAsia="Arial" w:hAnsi="Arial" w:cs="Arial"/>
        </w:rPr>
      </w:pPr>
    </w:p>
    <w:p w14:paraId="4C6C8140" w14:textId="77777777" w:rsidR="00720A34" w:rsidRPr="00C03C94" w:rsidRDefault="00720A34" w:rsidP="00720A34">
      <w:pPr>
        <w:pStyle w:val="Default"/>
        <w:rPr>
          <w:b/>
          <w:bCs/>
          <w:color w:val="auto"/>
          <w:sz w:val="22"/>
          <w:szCs w:val="22"/>
          <w:u w:val="single"/>
          <w:lang w:eastAsia="en-US"/>
        </w:rPr>
      </w:pPr>
      <w:r w:rsidRPr="00C03C94">
        <w:rPr>
          <w:b/>
          <w:bCs/>
          <w:color w:val="auto"/>
          <w:sz w:val="22"/>
          <w:szCs w:val="22"/>
          <w:u w:val="single"/>
        </w:rPr>
        <w:t xml:space="preserve">Employment support and adult skills </w:t>
      </w:r>
    </w:p>
    <w:p w14:paraId="79A74FE2" w14:textId="77777777" w:rsidR="00720A34" w:rsidRPr="00C03C94" w:rsidRDefault="00720A34" w:rsidP="00720A34">
      <w:pPr>
        <w:pStyle w:val="Default"/>
        <w:rPr>
          <w:color w:val="auto"/>
          <w:sz w:val="22"/>
          <w:szCs w:val="22"/>
        </w:rPr>
      </w:pPr>
    </w:p>
    <w:p w14:paraId="22B096ED" w14:textId="77777777" w:rsidR="00720A34" w:rsidRPr="00C03C94" w:rsidRDefault="00720A34" w:rsidP="00720A34">
      <w:pPr>
        <w:pStyle w:val="Default"/>
        <w:rPr>
          <w:color w:val="auto"/>
          <w:sz w:val="22"/>
          <w:szCs w:val="22"/>
        </w:rPr>
      </w:pPr>
      <w:r w:rsidRPr="00C03C94">
        <w:rPr>
          <w:b/>
          <w:bCs/>
          <w:color w:val="auto"/>
          <w:sz w:val="22"/>
          <w:szCs w:val="22"/>
        </w:rPr>
        <w:t xml:space="preserve">The Chancellor announced: </w:t>
      </w:r>
    </w:p>
    <w:p w14:paraId="6B9AC575" w14:textId="77777777" w:rsidR="00720A34" w:rsidRPr="00C03C94" w:rsidRDefault="00720A34" w:rsidP="00720A34">
      <w:pPr>
        <w:pStyle w:val="Default"/>
        <w:rPr>
          <w:color w:val="auto"/>
          <w:sz w:val="22"/>
          <w:szCs w:val="22"/>
        </w:rPr>
      </w:pPr>
    </w:p>
    <w:p w14:paraId="2B95FEA9" w14:textId="15592638" w:rsidR="00720A34" w:rsidRPr="00C03C94" w:rsidRDefault="00720A34" w:rsidP="00AB523F">
      <w:pPr>
        <w:pStyle w:val="Default"/>
        <w:numPr>
          <w:ilvl w:val="0"/>
          <w:numId w:val="9"/>
        </w:numPr>
        <w:jc w:val="both"/>
        <w:rPr>
          <w:color w:val="auto"/>
          <w:sz w:val="22"/>
          <w:szCs w:val="22"/>
        </w:rPr>
      </w:pPr>
      <w:r w:rsidRPr="00C03C94">
        <w:rPr>
          <w:color w:val="auto"/>
          <w:sz w:val="22"/>
          <w:szCs w:val="22"/>
        </w:rPr>
        <w:t>Budgets for the Work and Health Programme (WHP) will be transferred to London and Greater Manchester. This is subject to the two areas meeting certain conditions, including on co-funding (</w:t>
      </w:r>
      <w:r w:rsidRPr="00C03C94">
        <w:rPr>
          <w:i/>
          <w:iCs/>
          <w:color w:val="auto"/>
          <w:sz w:val="22"/>
          <w:szCs w:val="22"/>
        </w:rPr>
        <w:t>Page 33</w:t>
      </w:r>
      <w:r w:rsidR="00BA6A7D">
        <w:rPr>
          <w:i/>
          <w:iCs/>
          <w:color w:val="auto"/>
          <w:sz w:val="22"/>
          <w:szCs w:val="22"/>
        </w:rPr>
        <w:t>,</w:t>
      </w:r>
      <w:r w:rsidRPr="00C03C94">
        <w:rPr>
          <w:i/>
          <w:iCs/>
          <w:color w:val="auto"/>
          <w:sz w:val="22"/>
          <w:szCs w:val="22"/>
        </w:rPr>
        <w:t xml:space="preserve"> </w:t>
      </w:r>
      <w:r w:rsidR="00BA6A7D">
        <w:rPr>
          <w:i/>
          <w:iCs/>
          <w:color w:val="auto"/>
          <w:sz w:val="22"/>
          <w:szCs w:val="22"/>
        </w:rPr>
        <w:t>p</w:t>
      </w:r>
      <w:r w:rsidRPr="00C03C94">
        <w:rPr>
          <w:i/>
          <w:iCs/>
          <w:color w:val="auto"/>
          <w:sz w:val="22"/>
          <w:szCs w:val="22"/>
        </w:rPr>
        <w:t>aragraph 3.50)</w:t>
      </w:r>
      <w:r w:rsidR="00EB7712">
        <w:rPr>
          <w:i/>
          <w:iCs/>
          <w:color w:val="auto"/>
          <w:sz w:val="22"/>
          <w:szCs w:val="22"/>
        </w:rPr>
        <w:t>.</w:t>
      </w:r>
    </w:p>
    <w:p w14:paraId="34575543" w14:textId="77777777" w:rsidR="00720A34" w:rsidRPr="00C03C94" w:rsidRDefault="00720A34" w:rsidP="00AB523F">
      <w:pPr>
        <w:pStyle w:val="Default"/>
        <w:jc w:val="both"/>
        <w:rPr>
          <w:color w:val="auto"/>
          <w:sz w:val="22"/>
          <w:szCs w:val="22"/>
        </w:rPr>
      </w:pPr>
    </w:p>
    <w:p w14:paraId="156ECA34" w14:textId="50FE4F3A" w:rsidR="00720A34" w:rsidRPr="00C03C94" w:rsidRDefault="00720A34" w:rsidP="00AB523F">
      <w:pPr>
        <w:pStyle w:val="Default"/>
        <w:numPr>
          <w:ilvl w:val="0"/>
          <w:numId w:val="9"/>
        </w:numPr>
        <w:jc w:val="both"/>
        <w:rPr>
          <w:color w:val="auto"/>
          <w:sz w:val="22"/>
          <w:szCs w:val="22"/>
        </w:rPr>
      </w:pPr>
      <w:r w:rsidRPr="00C03C94">
        <w:rPr>
          <w:color w:val="auto"/>
          <w:sz w:val="22"/>
          <w:szCs w:val="22"/>
        </w:rPr>
        <w:t xml:space="preserve">The Government will devolve the adult education budget to London from 2019-20, subject to readiness conditions </w:t>
      </w:r>
      <w:r w:rsidRPr="00C03C94">
        <w:rPr>
          <w:i/>
          <w:color w:val="auto"/>
          <w:sz w:val="22"/>
          <w:szCs w:val="22"/>
        </w:rPr>
        <w:t>(</w:t>
      </w:r>
      <w:r w:rsidRPr="00C03C94">
        <w:rPr>
          <w:i/>
          <w:iCs/>
          <w:color w:val="auto"/>
          <w:sz w:val="22"/>
          <w:szCs w:val="22"/>
        </w:rPr>
        <w:t>Page 33</w:t>
      </w:r>
      <w:r w:rsidR="00BA6A7D">
        <w:rPr>
          <w:i/>
          <w:iCs/>
          <w:color w:val="auto"/>
          <w:sz w:val="22"/>
          <w:szCs w:val="22"/>
        </w:rPr>
        <w:t>,</w:t>
      </w:r>
      <w:r w:rsidRPr="00C03C94">
        <w:rPr>
          <w:i/>
          <w:iCs/>
          <w:color w:val="auto"/>
          <w:sz w:val="22"/>
          <w:szCs w:val="22"/>
        </w:rPr>
        <w:t xml:space="preserve"> </w:t>
      </w:r>
      <w:r w:rsidR="00BA6A7D">
        <w:rPr>
          <w:i/>
          <w:iCs/>
          <w:color w:val="auto"/>
          <w:sz w:val="22"/>
          <w:szCs w:val="22"/>
        </w:rPr>
        <w:t>p</w:t>
      </w:r>
      <w:r w:rsidRPr="00C03C94">
        <w:rPr>
          <w:i/>
          <w:iCs/>
          <w:color w:val="auto"/>
          <w:sz w:val="22"/>
          <w:szCs w:val="22"/>
        </w:rPr>
        <w:t>aragraph 3.50)</w:t>
      </w:r>
      <w:r w:rsidR="00EB7712">
        <w:rPr>
          <w:i/>
          <w:iCs/>
          <w:color w:val="auto"/>
          <w:sz w:val="22"/>
          <w:szCs w:val="22"/>
        </w:rPr>
        <w:t>.</w:t>
      </w:r>
    </w:p>
    <w:p w14:paraId="564FDEB8" w14:textId="77777777" w:rsidR="00720A34" w:rsidRPr="00C03C94" w:rsidRDefault="00720A34" w:rsidP="00720A34">
      <w:pPr>
        <w:pStyle w:val="Default"/>
        <w:rPr>
          <w:color w:val="auto"/>
          <w:sz w:val="22"/>
          <w:szCs w:val="22"/>
        </w:rPr>
      </w:pPr>
    </w:p>
    <w:p w14:paraId="51200AAA" w14:textId="77777777" w:rsidR="00720A34" w:rsidRPr="00C03C94" w:rsidRDefault="00720A34" w:rsidP="00720A34">
      <w:pPr>
        <w:pStyle w:val="Default"/>
        <w:rPr>
          <w:color w:val="auto"/>
          <w:sz w:val="22"/>
          <w:szCs w:val="22"/>
        </w:rPr>
      </w:pPr>
      <w:r w:rsidRPr="00C03C94">
        <w:rPr>
          <w:b/>
          <w:bCs/>
          <w:color w:val="auto"/>
          <w:sz w:val="22"/>
          <w:szCs w:val="22"/>
        </w:rPr>
        <w:t xml:space="preserve">LGA view: </w:t>
      </w:r>
    </w:p>
    <w:p w14:paraId="55460315" w14:textId="77777777" w:rsidR="00720A34" w:rsidRPr="00C03C94" w:rsidRDefault="00720A34" w:rsidP="00720A34">
      <w:pPr>
        <w:pStyle w:val="Default"/>
        <w:rPr>
          <w:color w:val="auto"/>
          <w:sz w:val="22"/>
          <w:szCs w:val="22"/>
        </w:rPr>
      </w:pPr>
    </w:p>
    <w:p w14:paraId="79F128F9" w14:textId="585451D5" w:rsidR="00720A34" w:rsidRPr="00C03C94" w:rsidRDefault="00720A34" w:rsidP="00AB523F">
      <w:pPr>
        <w:pStyle w:val="Default"/>
        <w:numPr>
          <w:ilvl w:val="0"/>
          <w:numId w:val="10"/>
        </w:numPr>
        <w:jc w:val="both"/>
        <w:rPr>
          <w:color w:val="auto"/>
          <w:sz w:val="22"/>
          <w:szCs w:val="22"/>
        </w:rPr>
      </w:pPr>
      <w:r w:rsidRPr="00C03C94">
        <w:rPr>
          <w:color w:val="auto"/>
          <w:sz w:val="22"/>
          <w:szCs w:val="22"/>
        </w:rPr>
        <w:t xml:space="preserve">The Government’s devolution of financial responsibility for the Work and Health Programme to London and Greater Manchester, which we note is conditional on co-investment, is a positive development. </w:t>
      </w:r>
      <w:r w:rsidR="00BA6A7D">
        <w:rPr>
          <w:color w:val="auto"/>
          <w:sz w:val="22"/>
          <w:szCs w:val="22"/>
        </w:rPr>
        <w:t>However, w</w:t>
      </w:r>
      <w:r w:rsidRPr="00C03C94">
        <w:rPr>
          <w:color w:val="auto"/>
          <w:sz w:val="22"/>
          <w:szCs w:val="22"/>
        </w:rPr>
        <w:t xml:space="preserve">e are disappointed that the Government has not sought to extend devolution of the WHP to all areas across England. If groups of councils were given sufficient influence over the WHP national programme to tackle worklessness and help reduce the disability employment gap, many would have also co-invested local resources with WHP. </w:t>
      </w:r>
    </w:p>
    <w:p w14:paraId="33BDCB53" w14:textId="77777777" w:rsidR="00720A34" w:rsidRPr="00C03C94" w:rsidRDefault="00720A34" w:rsidP="00AB523F">
      <w:pPr>
        <w:pStyle w:val="Default"/>
        <w:jc w:val="both"/>
        <w:rPr>
          <w:color w:val="auto"/>
          <w:sz w:val="22"/>
          <w:szCs w:val="22"/>
        </w:rPr>
      </w:pPr>
    </w:p>
    <w:p w14:paraId="34BA5488" w14:textId="5F38852C" w:rsidR="001B4352" w:rsidRPr="00C03C94" w:rsidRDefault="00720A34" w:rsidP="00AB523F">
      <w:pPr>
        <w:pStyle w:val="ListParagraph"/>
        <w:numPr>
          <w:ilvl w:val="0"/>
          <w:numId w:val="10"/>
        </w:numPr>
        <w:jc w:val="both"/>
        <w:rPr>
          <w:rFonts w:ascii="Arial" w:hAnsi="Arial" w:cs="Arial"/>
          <w:szCs w:val="22"/>
        </w:rPr>
      </w:pPr>
      <w:r w:rsidRPr="00C03C94">
        <w:rPr>
          <w:rFonts w:ascii="Arial" w:hAnsi="Arial" w:cs="Arial"/>
        </w:rPr>
        <w:t>Further devolution of the adult education budget is a step in the right direction. T</w:t>
      </w:r>
      <w:r w:rsidRPr="00C03C94">
        <w:rPr>
          <w:rFonts w:ascii="Arial" w:hAnsi="Arial" w:cs="Arial"/>
          <w:szCs w:val="22"/>
        </w:rPr>
        <w:t xml:space="preserve">he LGA is now calling for urgent guarantees from national Government to reform Whitehall’s national approach to commissioning employment and skills funding, worth £10.5 billion a year, which is fragmented, costly, and fails to address the of needs of local residents and employers across England. Across England’s local economies, we need to tackle worklessness, create jobs, meet </w:t>
      </w:r>
      <w:r w:rsidR="00EB7712" w:rsidRPr="00C03C94">
        <w:rPr>
          <w:rFonts w:ascii="Arial" w:hAnsi="Arial" w:cs="Arial"/>
          <w:szCs w:val="22"/>
        </w:rPr>
        <w:t>employers’</w:t>
      </w:r>
      <w:r w:rsidRPr="00C03C94">
        <w:rPr>
          <w:rFonts w:ascii="Arial" w:hAnsi="Arial" w:cs="Arial"/>
          <w:szCs w:val="22"/>
        </w:rPr>
        <w:t xml:space="preserve"> skills gaps and shortages, and train people for current and pipeline jobs, including through the Industrial Strategy. This requires groups of councils, working with local business and partners, to be given the full freedom and flexibility to integrate disparate funding streams around a single, place-based strategy based on the needs of people and employers rather than separate institutions. </w:t>
      </w:r>
    </w:p>
    <w:p w14:paraId="033593DC" w14:textId="77777777" w:rsidR="001B4352" w:rsidRPr="00C03C94" w:rsidRDefault="001B4352" w:rsidP="00AB523F">
      <w:pPr>
        <w:pStyle w:val="ListParagraph"/>
        <w:jc w:val="both"/>
        <w:rPr>
          <w:rFonts w:ascii="Arial" w:hAnsi="Arial" w:cs="Arial"/>
          <w:iCs/>
          <w:szCs w:val="22"/>
        </w:rPr>
      </w:pPr>
    </w:p>
    <w:p w14:paraId="30E9F362" w14:textId="039567F4" w:rsidR="001B4352" w:rsidRPr="00C03C94" w:rsidRDefault="001B4352" w:rsidP="00AB523F">
      <w:pPr>
        <w:pStyle w:val="ListParagraph"/>
        <w:numPr>
          <w:ilvl w:val="0"/>
          <w:numId w:val="10"/>
        </w:numPr>
        <w:jc w:val="both"/>
        <w:rPr>
          <w:rFonts w:ascii="Arial" w:hAnsi="Arial" w:cs="Arial"/>
          <w:szCs w:val="22"/>
        </w:rPr>
      </w:pPr>
      <w:r w:rsidRPr="00C03C94">
        <w:rPr>
          <w:rFonts w:ascii="Arial" w:hAnsi="Arial" w:cs="Arial"/>
          <w:szCs w:val="22"/>
        </w:rPr>
        <w:t>The LGA has called for the transfer of funding and responsibility for employment and skills as part of the move to 100 per cent business rates retention by the sector.</w:t>
      </w:r>
    </w:p>
    <w:p w14:paraId="472408A5" w14:textId="77777777" w:rsidR="00720A34" w:rsidRPr="00C03C94" w:rsidRDefault="00720A34" w:rsidP="00AE3E83">
      <w:pPr>
        <w:spacing w:line="240" w:lineRule="auto"/>
        <w:jc w:val="both"/>
        <w:rPr>
          <w:rFonts w:ascii="Arial" w:eastAsia="Arial" w:hAnsi="Arial" w:cs="Arial"/>
          <w:b/>
          <w:u w:val="single"/>
        </w:rPr>
      </w:pPr>
    </w:p>
    <w:p w14:paraId="0B657308" w14:textId="77777777" w:rsidR="00720A34" w:rsidRPr="00C03C94" w:rsidRDefault="00720A34" w:rsidP="00720A34">
      <w:pPr>
        <w:rPr>
          <w:rFonts w:ascii="Arial" w:hAnsi="Arial" w:cs="Arial"/>
          <w:b/>
          <w:u w:val="single"/>
        </w:rPr>
      </w:pPr>
      <w:r w:rsidRPr="00C03C94">
        <w:rPr>
          <w:rFonts w:ascii="Arial" w:hAnsi="Arial" w:cs="Arial"/>
          <w:b/>
          <w:u w:val="single"/>
        </w:rPr>
        <w:t>Business rates</w:t>
      </w:r>
    </w:p>
    <w:p w14:paraId="4DFABF11" w14:textId="77777777" w:rsidR="00720A34" w:rsidRPr="00C03C94" w:rsidRDefault="00720A34" w:rsidP="00720A34">
      <w:pPr>
        <w:rPr>
          <w:rFonts w:ascii="Arial" w:hAnsi="Arial" w:cs="Arial"/>
          <w:b/>
        </w:rPr>
      </w:pPr>
    </w:p>
    <w:p w14:paraId="2780BBC1" w14:textId="77777777" w:rsidR="00720A34" w:rsidRPr="00C03C94" w:rsidRDefault="00720A34" w:rsidP="00720A34">
      <w:pPr>
        <w:widowControl/>
        <w:spacing w:line="240" w:lineRule="auto"/>
        <w:rPr>
          <w:rFonts w:ascii="Arial" w:hAnsi="Arial" w:cs="Arial"/>
          <w:b/>
        </w:rPr>
      </w:pPr>
      <w:r w:rsidRPr="00C03C94">
        <w:rPr>
          <w:rFonts w:ascii="Arial" w:hAnsi="Arial" w:cs="Arial"/>
          <w:b/>
        </w:rPr>
        <w:t>The Chancellor announced:</w:t>
      </w:r>
    </w:p>
    <w:p w14:paraId="10AFA705" w14:textId="77777777" w:rsidR="00720A34" w:rsidRPr="00C03C94" w:rsidRDefault="00720A34" w:rsidP="00720A34">
      <w:pPr>
        <w:widowControl/>
        <w:spacing w:line="240" w:lineRule="auto"/>
        <w:rPr>
          <w:rFonts w:ascii="Arial" w:hAnsi="Arial" w:cs="Arial"/>
        </w:rPr>
      </w:pPr>
    </w:p>
    <w:p w14:paraId="3DA71E5E" w14:textId="1659D2A3" w:rsidR="00720A34" w:rsidRPr="0002051F" w:rsidRDefault="00720A34" w:rsidP="00AB523F">
      <w:pPr>
        <w:pStyle w:val="ListParagraph"/>
        <w:widowControl/>
        <w:numPr>
          <w:ilvl w:val="0"/>
          <w:numId w:val="41"/>
        </w:numPr>
        <w:spacing w:line="240" w:lineRule="auto"/>
        <w:jc w:val="both"/>
        <w:rPr>
          <w:rFonts w:ascii="Arial" w:hAnsi="Arial" w:cs="Arial"/>
        </w:rPr>
      </w:pPr>
      <w:r w:rsidRPr="00C03C94">
        <w:rPr>
          <w:rFonts w:ascii="Arial" w:hAnsi="Arial" w:cs="Arial"/>
        </w:rPr>
        <w:t xml:space="preserve">New fibre-optic broadband will qualify for 100 per cent business rate relief for a 5 year period from 1 April 2017. </w:t>
      </w:r>
      <w:r w:rsidRPr="00C03C94">
        <w:rPr>
          <w:rFonts w:ascii="Arial" w:hAnsi="Arial" w:cs="Arial"/>
          <w:i/>
        </w:rPr>
        <w:t>(Page 28, paragraph 3.20)</w:t>
      </w:r>
      <w:r w:rsidR="00EB7712">
        <w:rPr>
          <w:rFonts w:ascii="Arial" w:hAnsi="Arial" w:cs="Arial"/>
          <w:i/>
        </w:rPr>
        <w:t>.</w:t>
      </w:r>
    </w:p>
    <w:p w14:paraId="24CC0C0A" w14:textId="77777777" w:rsidR="0002051F" w:rsidRPr="00C03C94" w:rsidRDefault="0002051F" w:rsidP="0002051F">
      <w:pPr>
        <w:pStyle w:val="ListParagraph"/>
        <w:widowControl/>
        <w:spacing w:line="240" w:lineRule="auto"/>
        <w:jc w:val="both"/>
        <w:rPr>
          <w:rFonts w:ascii="Arial" w:hAnsi="Arial" w:cs="Arial"/>
        </w:rPr>
      </w:pPr>
    </w:p>
    <w:p w14:paraId="4F44D4CA" w14:textId="47324541" w:rsidR="00720A34" w:rsidRPr="0002051F" w:rsidRDefault="00720A34" w:rsidP="00AB523F">
      <w:pPr>
        <w:widowControl/>
        <w:numPr>
          <w:ilvl w:val="0"/>
          <w:numId w:val="21"/>
        </w:numPr>
        <w:spacing w:line="240" w:lineRule="auto"/>
        <w:jc w:val="both"/>
        <w:rPr>
          <w:rFonts w:ascii="Arial" w:hAnsi="Arial" w:cs="Arial"/>
        </w:rPr>
      </w:pPr>
      <w:r w:rsidRPr="00C03C94">
        <w:rPr>
          <w:rFonts w:ascii="Arial" w:hAnsi="Arial" w:cs="Arial"/>
        </w:rPr>
        <w:t xml:space="preserve">The Government will double rural rate relief to 100 per cent from 1 April 2017 </w:t>
      </w:r>
      <w:r w:rsidRPr="00C03C94">
        <w:rPr>
          <w:rFonts w:ascii="Arial" w:hAnsi="Arial" w:cs="Arial"/>
          <w:i/>
        </w:rPr>
        <w:t>(Page 40, paragraph 4.33)</w:t>
      </w:r>
      <w:r w:rsidR="00EB7712">
        <w:rPr>
          <w:rFonts w:ascii="Arial" w:hAnsi="Arial" w:cs="Arial"/>
          <w:i/>
        </w:rPr>
        <w:t>.</w:t>
      </w:r>
    </w:p>
    <w:p w14:paraId="42F6ADE7" w14:textId="77777777" w:rsidR="0002051F" w:rsidRPr="00C03C94" w:rsidRDefault="0002051F" w:rsidP="0002051F">
      <w:pPr>
        <w:widowControl/>
        <w:spacing w:line="240" w:lineRule="auto"/>
        <w:ind w:left="720"/>
        <w:jc w:val="both"/>
        <w:rPr>
          <w:rFonts w:ascii="Arial" w:hAnsi="Arial" w:cs="Arial"/>
        </w:rPr>
      </w:pPr>
    </w:p>
    <w:p w14:paraId="1EA41EA7" w14:textId="4E61E7BA" w:rsidR="00720A34" w:rsidRPr="00C03C94" w:rsidRDefault="00720A34" w:rsidP="00AB523F">
      <w:pPr>
        <w:widowControl/>
        <w:numPr>
          <w:ilvl w:val="0"/>
          <w:numId w:val="21"/>
        </w:numPr>
        <w:spacing w:line="240" w:lineRule="auto"/>
        <w:jc w:val="both"/>
        <w:rPr>
          <w:rFonts w:ascii="Arial" w:hAnsi="Arial" w:cs="Arial"/>
        </w:rPr>
      </w:pPr>
      <w:r w:rsidRPr="00C03C94">
        <w:rPr>
          <w:rFonts w:ascii="Arial" w:hAnsi="Arial" w:cs="Arial"/>
        </w:rPr>
        <w:t xml:space="preserve">The Government has also </w:t>
      </w:r>
      <w:hyperlink r:id="rId20" w:history="1">
        <w:r w:rsidRPr="00C03C94">
          <w:rPr>
            <w:rStyle w:val="Hyperlink"/>
            <w:rFonts w:ascii="Arial" w:hAnsi="Arial" w:cs="Arial"/>
            <w:color w:val="auto"/>
          </w:rPr>
          <w:t>confirmed</w:t>
        </w:r>
      </w:hyperlink>
      <w:r w:rsidRPr="00C03C94">
        <w:rPr>
          <w:rFonts w:ascii="Arial" w:hAnsi="Arial" w:cs="Arial"/>
        </w:rPr>
        <w:t xml:space="preserve"> the transitional scheme they will use for the 2017 revaluation. Any rise will be capped at 5 per cent in the first year for small properties with the total value of transitional relief being worth a total £3.6 billion over </w:t>
      </w:r>
      <w:r w:rsidR="00717B94" w:rsidRPr="00C03C94">
        <w:rPr>
          <w:rFonts w:ascii="Arial" w:hAnsi="Arial" w:cs="Arial"/>
        </w:rPr>
        <w:t>five</w:t>
      </w:r>
      <w:r w:rsidRPr="00C03C94">
        <w:rPr>
          <w:rFonts w:ascii="Arial" w:hAnsi="Arial" w:cs="Arial"/>
        </w:rPr>
        <w:t xml:space="preserve"> years.  This will be paid for by caps on reductions to businesses which gain from the revaluation, with smaller businesses having reductions phased in to a lesser extent than those for larger businesses, which will have their maximum increase in the first year reduced from 45 per cent to 42 per cent.</w:t>
      </w:r>
    </w:p>
    <w:p w14:paraId="1938BB45" w14:textId="77777777" w:rsidR="00720A34" w:rsidRPr="00C03C94" w:rsidRDefault="00720A34" w:rsidP="00720A34">
      <w:pPr>
        <w:rPr>
          <w:rFonts w:ascii="Arial" w:hAnsi="Arial" w:cs="Arial"/>
          <w:b/>
        </w:rPr>
      </w:pPr>
    </w:p>
    <w:p w14:paraId="30750E4C" w14:textId="77777777" w:rsidR="00720A34" w:rsidRPr="00C03C94" w:rsidRDefault="00720A34" w:rsidP="00720A34">
      <w:pPr>
        <w:rPr>
          <w:rFonts w:ascii="Arial" w:hAnsi="Arial" w:cs="Arial"/>
          <w:b/>
        </w:rPr>
      </w:pPr>
      <w:r w:rsidRPr="00C03C94">
        <w:rPr>
          <w:rFonts w:ascii="Arial" w:hAnsi="Arial" w:cs="Arial"/>
          <w:b/>
        </w:rPr>
        <w:t>LGA view:</w:t>
      </w:r>
    </w:p>
    <w:p w14:paraId="15B25759" w14:textId="77777777" w:rsidR="00720A34" w:rsidRPr="00C03C94" w:rsidRDefault="00720A34" w:rsidP="00AB523F">
      <w:pPr>
        <w:jc w:val="both"/>
        <w:rPr>
          <w:rFonts w:ascii="Arial" w:hAnsi="Arial" w:cs="Arial"/>
          <w:b/>
        </w:rPr>
      </w:pPr>
    </w:p>
    <w:p w14:paraId="2C3462A8" w14:textId="77777777" w:rsidR="001020BC" w:rsidRDefault="001020BC" w:rsidP="00AB523F">
      <w:pPr>
        <w:pStyle w:val="ListParagraph"/>
        <w:widowControl/>
        <w:numPr>
          <w:ilvl w:val="0"/>
          <w:numId w:val="42"/>
        </w:numPr>
        <w:spacing w:line="240" w:lineRule="auto"/>
        <w:jc w:val="both"/>
        <w:rPr>
          <w:rFonts w:ascii="Arial" w:hAnsi="Arial" w:cs="Arial"/>
        </w:rPr>
      </w:pPr>
      <w:r w:rsidRPr="00C03C94">
        <w:rPr>
          <w:rFonts w:ascii="Arial" w:hAnsi="Arial" w:cs="Arial"/>
        </w:rPr>
        <w:t>T</w:t>
      </w:r>
      <w:r w:rsidR="00720A34" w:rsidRPr="00C03C94">
        <w:rPr>
          <w:rFonts w:ascii="Arial" w:hAnsi="Arial" w:cs="Arial"/>
        </w:rPr>
        <w:t xml:space="preserve">he business rates relief measures </w:t>
      </w:r>
      <w:r w:rsidRPr="00C03C94">
        <w:rPr>
          <w:rFonts w:ascii="Arial" w:hAnsi="Arial" w:cs="Arial"/>
        </w:rPr>
        <w:t>must</w:t>
      </w:r>
      <w:r w:rsidR="00720A34" w:rsidRPr="00C03C94">
        <w:rPr>
          <w:rFonts w:ascii="Arial" w:hAnsi="Arial" w:cs="Arial"/>
        </w:rPr>
        <w:t xml:space="preserve"> be fully funded by central government</w:t>
      </w:r>
      <w:r w:rsidRPr="00C03C94">
        <w:rPr>
          <w:rFonts w:ascii="Arial" w:hAnsi="Arial" w:cs="Arial"/>
        </w:rPr>
        <w:t xml:space="preserve"> before the implementation of business rate retention reform</w:t>
      </w:r>
      <w:r w:rsidR="00720A34" w:rsidRPr="00C03C94">
        <w:rPr>
          <w:rFonts w:ascii="Arial" w:hAnsi="Arial" w:cs="Arial"/>
        </w:rPr>
        <w:t xml:space="preserve">.  </w:t>
      </w:r>
    </w:p>
    <w:p w14:paraId="0C7A61B2" w14:textId="77777777" w:rsidR="0002051F" w:rsidRPr="00C03C94" w:rsidRDefault="0002051F" w:rsidP="0002051F">
      <w:pPr>
        <w:pStyle w:val="ListParagraph"/>
        <w:widowControl/>
        <w:spacing w:line="240" w:lineRule="auto"/>
        <w:jc w:val="both"/>
        <w:rPr>
          <w:rFonts w:ascii="Arial" w:hAnsi="Arial" w:cs="Arial"/>
        </w:rPr>
      </w:pPr>
    </w:p>
    <w:p w14:paraId="75CDADB9" w14:textId="4625F63D" w:rsidR="00720A34" w:rsidRDefault="00720A34" w:rsidP="00AB523F">
      <w:pPr>
        <w:pStyle w:val="ListParagraph"/>
        <w:widowControl/>
        <w:numPr>
          <w:ilvl w:val="0"/>
          <w:numId w:val="42"/>
        </w:numPr>
        <w:spacing w:line="240" w:lineRule="auto"/>
        <w:jc w:val="both"/>
        <w:rPr>
          <w:rFonts w:ascii="Arial" w:hAnsi="Arial" w:cs="Arial"/>
        </w:rPr>
      </w:pPr>
      <w:r w:rsidRPr="00C03C94">
        <w:rPr>
          <w:rFonts w:ascii="Arial" w:hAnsi="Arial" w:cs="Arial"/>
        </w:rPr>
        <w:t xml:space="preserve">Measures such as this reduce the quantum available for business rates retention. We call on the Government to make it clear that this will </w:t>
      </w:r>
      <w:r w:rsidR="001020BC" w:rsidRPr="00C03C94">
        <w:rPr>
          <w:rFonts w:ascii="Arial" w:hAnsi="Arial" w:cs="Arial"/>
        </w:rPr>
        <w:t>be reflected during the reform process.</w:t>
      </w:r>
    </w:p>
    <w:p w14:paraId="4E0296EC" w14:textId="77777777" w:rsidR="0002051F" w:rsidRPr="0002051F" w:rsidRDefault="0002051F" w:rsidP="0002051F">
      <w:pPr>
        <w:widowControl/>
        <w:spacing w:line="240" w:lineRule="auto"/>
        <w:jc w:val="both"/>
        <w:rPr>
          <w:rFonts w:ascii="Arial" w:hAnsi="Arial" w:cs="Arial"/>
        </w:rPr>
      </w:pPr>
    </w:p>
    <w:p w14:paraId="6E8E7B7B" w14:textId="77777777" w:rsidR="00720A34" w:rsidRDefault="00720A34" w:rsidP="00AB523F">
      <w:pPr>
        <w:pStyle w:val="ListParagraph"/>
        <w:widowControl/>
        <w:numPr>
          <w:ilvl w:val="0"/>
          <w:numId w:val="42"/>
        </w:numPr>
        <w:spacing w:line="240" w:lineRule="auto"/>
        <w:jc w:val="both"/>
        <w:rPr>
          <w:rFonts w:ascii="Arial" w:hAnsi="Arial" w:cs="Arial"/>
        </w:rPr>
      </w:pPr>
      <w:r w:rsidRPr="00C03C94">
        <w:rPr>
          <w:rFonts w:ascii="Arial" w:hAnsi="Arial" w:cs="Arial"/>
        </w:rPr>
        <w:t>The change to rural rate relief will be welcome to small businesses in rural areas. </w:t>
      </w:r>
    </w:p>
    <w:p w14:paraId="13144D75" w14:textId="77777777" w:rsidR="0002051F" w:rsidRPr="0002051F" w:rsidRDefault="0002051F" w:rsidP="0002051F">
      <w:pPr>
        <w:widowControl/>
        <w:spacing w:line="240" w:lineRule="auto"/>
        <w:jc w:val="both"/>
        <w:rPr>
          <w:rFonts w:ascii="Arial" w:hAnsi="Arial" w:cs="Arial"/>
        </w:rPr>
      </w:pPr>
    </w:p>
    <w:p w14:paraId="6B23FF76" w14:textId="32A9E095" w:rsidR="00720A34" w:rsidRDefault="00717B94" w:rsidP="00AB523F">
      <w:pPr>
        <w:pStyle w:val="ListParagraph"/>
        <w:widowControl/>
        <w:numPr>
          <w:ilvl w:val="0"/>
          <w:numId w:val="42"/>
        </w:numPr>
        <w:spacing w:line="240" w:lineRule="auto"/>
        <w:jc w:val="both"/>
        <w:rPr>
          <w:rFonts w:ascii="Arial" w:hAnsi="Arial" w:cs="Arial"/>
        </w:rPr>
      </w:pPr>
      <w:r w:rsidRPr="00C03C94">
        <w:rPr>
          <w:rFonts w:ascii="Arial" w:hAnsi="Arial" w:cs="Arial"/>
        </w:rPr>
        <w:t>However, a</w:t>
      </w:r>
      <w:r w:rsidR="00720A34" w:rsidRPr="00C03C94">
        <w:rPr>
          <w:rFonts w:ascii="Arial" w:hAnsi="Arial" w:cs="Arial"/>
        </w:rPr>
        <w:t>s requested in our Autumn Statement submission, we would call on the Government to give councils freedom to target reliefs in the light of their local knowledge. </w:t>
      </w:r>
    </w:p>
    <w:p w14:paraId="7439E081" w14:textId="77777777" w:rsidR="0002051F" w:rsidRPr="0002051F" w:rsidRDefault="0002051F" w:rsidP="0002051F">
      <w:pPr>
        <w:widowControl/>
        <w:spacing w:line="240" w:lineRule="auto"/>
        <w:jc w:val="both"/>
        <w:rPr>
          <w:rFonts w:ascii="Arial" w:hAnsi="Arial" w:cs="Arial"/>
        </w:rPr>
      </w:pPr>
    </w:p>
    <w:p w14:paraId="5F0C53B7" w14:textId="1178681F" w:rsidR="00720A34" w:rsidRPr="00C03C94" w:rsidRDefault="00720A34" w:rsidP="00AB523F">
      <w:pPr>
        <w:pStyle w:val="ListParagraph"/>
        <w:widowControl/>
        <w:numPr>
          <w:ilvl w:val="0"/>
          <w:numId w:val="42"/>
        </w:numPr>
        <w:spacing w:line="240" w:lineRule="auto"/>
        <w:jc w:val="both"/>
        <w:rPr>
          <w:rFonts w:ascii="Arial" w:hAnsi="Arial" w:cs="Arial"/>
        </w:rPr>
      </w:pPr>
      <w:r w:rsidRPr="00C03C94">
        <w:rPr>
          <w:rFonts w:ascii="Arial" w:hAnsi="Arial" w:cs="Arial"/>
        </w:rPr>
        <w:t xml:space="preserve">Local government has already committed </w:t>
      </w:r>
      <w:r w:rsidR="00457377" w:rsidRPr="00C03C94">
        <w:rPr>
          <w:rFonts w:ascii="Arial" w:hAnsi="Arial" w:cs="Arial"/>
        </w:rPr>
        <w:t>more than</w:t>
      </w:r>
      <w:r w:rsidRPr="00C03C94">
        <w:rPr>
          <w:rFonts w:ascii="Arial" w:hAnsi="Arial" w:cs="Arial"/>
        </w:rPr>
        <w:t xml:space="preserve"> £700 million through the Superfast Broadband Programme to help suppliers connect hard to reach residents.</w:t>
      </w:r>
    </w:p>
    <w:p w14:paraId="7494CC10" w14:textId="77777777" w:rsidR="00720A34" w:rsidRPr="00C03C94" w:rsidRDefault="00720A34" w:rsidP="00AE3E83">
      <w:pPr>
        <w:spacing w:line="240" w:lineRule="auto"/>
        <w:jc w:val="both"/>
        <w:rPr>
          <w:rFonts w:ascii="Arial" w:eastAsia="Arial" w:hAnsi="Arial" w:cs="Arial"/>
          <w:b/>
          <w:u w:val="single"/>
        </w:rPr>
      </w:pPr>
    </w:p>
    <w:p w14:paraId="17548BBE" w14:textId="1A6AEAD0" w:rsidR="005557F7" w:rsidRPr="00C03C94" w:rsidRDefault="005557F7" w:rsidP="00AE3E83">
      <w:pPr>
        <w:spacing w:line="240" w:lineRule="auto"/>
        <w:jc w:val="both"/>
        <w:rPr>
          <w:rFonts w:ascii="Arial" w:eastAsia="Arial" w:hAnsi="Arial" w:cs="Arial"/>
          <w:b/>
          <w:u w:val="single"/>
        </w:rPr>
      </w:pPr>
      <w:r w:rsidRPr="00C03C94">
        <w:rPr>
          <w:rFonts w:ascii="Arial" w:eastAsia="Arial" w:hAnsi="Arial" w:cs="Arial"/>
          <w:b/>
          <w:u w:val="single"/>
        </w:rPr>
        <w:t>National Living Wage</w:t>
      </w:r>
    </w:p>
    <w:p w14:paraId="2EB615B1" w14:textId="77777777" w:rsidR="005557F7" w:rsidRPr="00C03C94" w:rsidRDefault="005557F7" w:rsidP="00AE3E83">
      <w:pPr>
        <w:spacing w:line="240" w:lineRule="auto"/>
        <w:jc w:val="both"/>
        <w:rPr>
          <w:rFonts w:ascii="Arial" w:eastAsia="Arial" w:hAnsi="Arial" w:cs="Arial"/>
          <w:b/>
        </w:rPr>
      </w:pPr>
    </w:p>
    <w:p w14:paraId="2B14FE7C" w14:textId="25D02F51" w:rsidR="006D4ED6" w:rsidRPr="00C03C94" w:rsidRDefault="006D4ED6" w:rsidP="005557F7">
      <w:pPr>
        <w:spacing w:line="240" w:lineRule="auto"/>
        <w:rPr>
          <w:rFonts w:ascii="Arial" w:hAnsi="Arial" w:cs="Arial"/>
        </w:rPr>
      </w:pPr>
      <w:r w:rsidRPr="00C03C94">
        <w:rPr>
          <w:rFonts w:ascii="Arial" w:hAnsi="Arial" w:cs="Arial"/>
          <w:b/>
        </w:rPr>
        <w:t>The Chancellor announced:</w:t>
      </w:r>
    </w:p>
    <w:p w14:paraId="73F6C876" w14:textId="77777777" w:rsidR="006D4ED6" w:rsidRPr="00C03C94" w:rsidRDefault="006D4ED6" w:rsidP="005557F7">
      <w:pPr>
        <w:spacing w:line="240" w:lineRule="auto"/>
        <w:rPr>
          <w:rFonts w:ascii="Arial" w:hAnsi="Arial" w:cs="Arial"/>
        </w:rPr>
      </w:pPr>
    </w:p>
    <w:p w14:paraId="4ABB3DA8" w14:textId="0A76EAF5" w:rsidR="005557F7" w:rsidRPr="00C03C94" w:rsidRDefault="006D4ED6" w:rsidP="00AB523F">
      <w:pPr>
        <w:pStyle w:val="ListParagraph"/>
        <w:numPr>
          <w:ilvl w:val="0"/>
          <w:numId w:val="5"/>
        </w:numPr>
        <w:spacing w:line="240" w:lineRule="auto"/>
        <w:jc w:val="both"/>
        <w:rPr>
          <w:rFonts w:ascii="Arial" w:hAnsi="Arial" w:cs="Arial"/>
        </w:rPr>
      </w:pPr>
      <w:r w:rsidRPr="00C03C94">
        <w:rPr>
          <w:rFonts w:ascii="Arial" w:hAnsi="Arial" w:cs="Arial"/>
        </w:rPr>
        <w:t>F</w:t>
      </w:r>
      <w:r w:rsidR="005557F7" w:rsidRPr="00C03C94">
        <w:rPr>
          <w:rFonts w:ascii="Arial" w:hAnsi="Arial" w:cs="Arial"/>
        </w:rPr>
        <w:t xml:space="preserve">ollowing the recommendations of the independent Low Pay Commission, the National Living Wage (NLW) will be increased </w:t>
      </w:r>
      <w:r w:rsidRPr="00C03C94">
        <w:rPr>
          <w:rFonts w:ascii="Arial" w:hAnsi="Arial" w:cs="Arial"/>
        </w:rPr>
        <w:t>by 4.2 per cent</w:t>
      </w:r>
      <w:r w:rsidR="005557F7" w:rsidRPr="00C03C94">
        <w:rPr>
          <w:rFonts w:ascii="Arial" w:hAnsi="Arial" w:cs="Arial"/>
        </w:rPr>
        <w:t xml:space="preserve"> from £7.20 to £7.50 from April 2017. The target for the NLW to reach 60</w:t>
      </w:r>
      <w:r w:rsidRPr="00C03C94">
        <w:rPr>
          <w:rFonts w:ascii="Arial" w:hAnsi="Arial" w:cs="Arial"/>
        </w:rPr>
        <w:t xml:space="preserve"> per cent</w:t>
      </w:r>
      <w:r w:rsidR="005557F7" w:rsidRPr="00C03C94">
        <w:rPr>
          <w:rFonts w:ascii="Arial" w:hAnsi="Arial" w:cs="Arial"/>
        </w:rPr>
        <w:t xml:space="preserve"> of median earnings is restated, subject to sustained economic growth.</w:t>
      </w:r>
      <w:r w:rsidRPr="00C03C94">
        <w:rPr>
          <w:rFonts w:ascii="Arial" w:hAnsi="Arial" w:cs="Arial"/>
        </w:rPr>
        <w:t xml:space="preserve"> </w:t>
      </w:r>
      <w:r w:rsidR="00A80A78" w:rsidRPr="00C03C94">
        <w:rPr>
          <w:rFonts w:ascii="Arial" w:hAnsi="Arial" w:cs="Arial"/>
          <w:szCs w:val="22"/>
        </w:rPr>
        <w:t xml:space="preserve">This is estimated to mean a pay rise for over a </w:t>
      </w:r>
      <w:r w:rsidR="00BA6A7D">
        <w:rPr>
          <w:rFonts w:ascii="Arial" w:hAnsi="Arial" w:cs="Arial"/>
          <w:szCs w:val="22"/>
        </w:rPr>
        <w:t>million workers</w:t>
      </w:r>
      <w:r w:rsidR="00A80A78" w:rsidRPr="00C03C94">
        <w:rPr>
          <w:rFonts w:ascii="Arial" w:hAnsi="Arial" w:cs="Arial"/>
          <w:szCs w:val="22"/>
        </w:rPr>
        <w:t xml:space="preserve"> </w:t>
      </w:r>
      <w:r w:rsidR="005557F7" w:rsidRPr="00C03C94">
        <w:rPr>
          <w:rFonts w:ascii="Arial" w:hAnsi="Arial" w:cs="Arial"/>
        </w:rPr>
        <w:t>(</w:t>
      </w:r>
      <w:r w:rsidR="005557F7" w:rsidRPr="00C03C94">
        <w:rPr>
          <w:rFonts w:ascii="Arial" w:hAnsi="Arial" w:cs="Arial"/>
          <w:i/>
        </w:rPr>
        <w:t>Page 32</w:t>
      </w:r>
      <w:r w:rsidR="00EB7712">
        <w:rPr>
          <w:rFonts w:ascii="Arial" w:hAnsi="Arial" w:cs="Arial"/>
          <w:i/>
        </w:rPr>
        <w:t>,</w:t>
      </w:r>
      <w:r w:rsidR="005557F7" w:rsidRPr="00C03C94">
        <w:rPr>
          <w:rFonts w:ascii="Arial" w:hAnsi="Arial" w:cs="Arial"/>
          <w:i/>
        </w:rPr>
        <w:t xml:space="preserve"> </w:t>
      </w:r>
      <w:r w:rsidR="00BA6A7D">
        <w:rPr>
          <w:rFonts w:ascii="Arial" w:hAnsi="Arial" w:cs="Arial"/>
          <w:i/>
        </w:rPr>
        <w:t>p</w:t>
      </w:r>
      <w:r w:rsidR="005557F7" w:rsidRPr="00C03C94">
        <w:rPr>
          <w:rFonts w:ascii="Arial" w:hAnsi="Arial" w:cs="Arial"/>
          <w:i/>
        </w:rPr>
        <w:t>aragraph 3.46</w:t>
      </w:r>
      <w:r w:rsidR="005557F7" w:rsidRPr="00C03C94">
        <w:rPr>
          <w:rFonts w:ascii="Arial" w:hAnsi="Arial" w:cs="Arial"/>
        </w:rPr>
        <w:t>)</w:t>
      </w:r>
      <w:r w:rsidR="00EB7712">
        <w:rPr>
          <w:rFonts w:ascii="Arial" w:hAnsi="Arial" w:cs="Arial"/>
        </w:rPr>
        <w:t>.</w:t>
      </w:r>
    </w:p>
    <w:p w14:paraId="33CD3AD0" w14:textId="77777777" w:rsidR="00A80A78" w:rsidRPr="00C03C94" w:rsidRDefault="00A80A78" w:rsidP="001C3ABA">
      <w:pPr>
        <w:spacing w:line="240" w:lineRule="auto"/>
        <w:ind w:left="360"/>
        <w:rPr>
          <w:rFonts w:ascii="Arial" w:hAnsi="Arial" w:cs="Arial"/>
        </w:rPr>
      </w:pPr>
    </w:p>
    <w:p w14:paraId="0958AAE7" w14:textId="373786DC" w:rsidR="005557F7" w:rsidRPr="00C03C94" w:rsidRDefault="005D2F12" w:rsidP="005557F7">
      <w:pPr>
        <w:spacing w:line="240" w:lineRule="auto"/>
        <w:rPr>
          <w:rFonts w:ascii="Arial" w:hAnsi="Arial" w:cs="Arial"/>
          <w:b/>
        </w:rPr>
      </w:pPr>
      <w:r>
        <w:rPr>
          <w:rFonts w:ascii="Arial" w:hAnsi="Arial" w:cs="Arial"/>
          <w:b/>
        </w:rPr>
        <w:t>LGA v</w:t>
      </w:r>
      <w:r w:rsidR="005557F7" w:rsidRPr="00C03C94">
        <w:rPr>
          <w:rFonts w:ascii="Arial" w:hAnsi="Arial" w:cs="Arial"/>
          <w:b/>
        </w:rPr>
        <w:t>iew:</w:t>
      </w:r>
    </w:p>
    <w:p w14:paraId="3E1DE5F5" w14:textId="77777777" w:rsidR="005557F7" w:rsidRPr="00C03C94" w:rsidRDefault="005557F7" w:rsidP="005557F7">
      <w:pPr>
        <w:spacing w:line="240" w:lineRule="auto"/>
        <w:rPr>
          <w:rFonts w:ascii="Arial" w:hAnsi="Arial" w:cs="Arial"/>
        </w:rPr>
      </w:pPr>
    </w:p>
    <w:p w14:paraId="12BEFA4B" w14:textId="2669671D" w:rsidR="005557F7" w:rsidRPr="0002051F" w:rsidRDefault="005557F7" w:rsidP="00AB523F">
      <w:pPr>
        <w:pStyle w:val="ListParagraph"/>
        <w:numPr>
          <w:ilvl w:val="0"/>
          <w:numId w:val="5"/>
        </w:numPr>
        <w:spacing w:line="240" w:lineRule="auto"/>
        <w:jc w:val="both"/>
        <w:rPr>
          <w:rFonts w:ascii="Arial" w:eastAsia="Arial" w:hAnsi="Arial" w:cs="Arial"/>
          <w:b/>
        </w:rPr>
      </w:pPr>
      <w:r w:rsidRPr="00C03C94">
        <w:rPr>
          <w:rFonts w:ascii="Arial" w:hAnsi="Arial" w:cs="Arial"/>
        </w:rPr>
        <w:t>The LGA supports the introduction of the NLW and notes the increase and statement of policy. We will continue to study the implications closely in view of the consequences for costs in social care</w:t>
      </w:r>
      <w:r w:rsidR="006D4ED6" w:rsidRPr="00C03C94">
        <w:rPr>
          <w:rFonts w:ascii="Arial" w:hAnsi="Arial" w:cs="Arial"/>
        </w:rPr>
        <w:t>,</w:t>
      </w:r>
      <w:r w:rsidRPr="00C03C94">
        <w:rPr>
          <w:rFonts w:ascii="Arial" w:hAnsi="Arial" w:cs="Arial"/>
        </w:rPr>
        <w:t xml:space="preserve"> in particular</w:t>
      </w:r>
      <w:r w:rsidR="006D4ED6" w:rsidRPr="00C03C94">
        <w:rPr>
          <w:rFonts w:ascii="Arial" w:hAnsi="Arial" w:cs="Arial"/>
        </w:rPr>
        <w:t>,</w:t>
      </w:r>
      <w:r w:rsidRPr="00C03C94">
        <w:rPr>
          <w:rFonts w:ascii="Arial" w:hAnsi="Arial" w:cs="Arial"/>
        </w:rPr>
        <w:t xml:space="preserve"> and the need to plan carefully for employment costs over the spending review period</w:t>
      </w:r>
      <w:r w:rsidR="006D4ED6" w:rsidRPr="00C03C94">
        <w:rPr>
          <w:rFonts w:ascii="Arial" w:hAnsi="Arial" w:cs="Arial"/>
        </w:rPr>
        <w:t>.</w:t>
      </w:r>
    </w:p>
    <w:p w14:paraId="3C296114" w14:textId="77777777" w:rsidR="0002051F" w:rsidRPr="0002051F" w:rsidRDefault="0002051F" w:rsidP="0002051F">
      <w:pPr>
        <w:spacing w:line="240" w:lineRule="auto"/>
        <w:ind w:left="360"/>
        <w:jc w:val="both"/>
        <w:rPr>
          <w:rFonts w:ascii="Arial" w:eastAsia="Arial" w:hAnsi="Arial" w:cs="Arial"/>
          <w:b/>
        </w:rPr>
      </w:pPr>
    </w:p>
    <w:p w14:paraId="233BB92D" w14:textId="05568422" w:rsidR="008805B8" w:rsidRPr="0002051F" w:rsidRDefault="008805B8" w:rsidP="00AB523F">
      <w:pPr>
        <w:pStyle w:val="ListParagraph"/>
        <w:widowControl/>
        <w:numPr>
          <w:ilvl w:val="0"/>
          <w:numId w:val="5"/>
        </w:numPr>
        <w:spacing w:line="240" w:lineRule="auto"/>
        <w:jc w:val="both"/>
        <w:rPr>
          <w:rFonts w:ascii="Arial" w:hAnsi="Arial" w:cs="Arial"/>
        </w:rPr>
      </w:pPr>
      <w:r w:rsidRPr="00C03C94">
        <w:rPr>
          <w:rFonts w:ascii="Arial" w:eastAsia="Arial" w:hAnsi="Arial" w:cs="Arial"/>
        </w:rPr>
        <w:t>I</w:t>
      </w:r>
      <w:r w:rsidRPr="00C03C94">
        <w:rPr>
          <w:rFonts w:ascii="Arial" w:hAnsi="Arial" w:cs="Arial"/>
        </w:rPr>
        <w:t xml:space="preserve">n our submission to the Autumn Statement we made clear that the fragility of the adult social care provider market is a real concern in many areas.  </w:t>
      </w:r>
      <w:r w:rsidR="0027747E" w:rsidRPr="00C03C94">
        <w:rPr>
          <w:rFonts w:ascii="Arial" w:hAnsi="Arial" w:cs="Arial"/>
          <w:szCs w:val="22"/>
        </w:rPr>
        <w:t>LGA analysis of ‘fair price’ of care calculations developed by provider organisations suggests that the scale of the immediate challenge could be in the order of at least £1.3 billion. This is the minimum requirement to stabilise the provider market.</w:t>
      </w:r>
    </w:p>
    <w:p w14:paraId="4A7AE4B8" w14:textId="77777777" w:rsidR="0002051F" w:rsidRPr="0002051F" w:rsidRDefault="0002051F" w:rsidP="0002051F">
      <w:pPr>
        <w:widowControl/>
        <w:spacing w:line="240" w:lineRule="auto"/>
        <w:jc w:val="both"/>
        <w:rPr>
          <w:rFonts w:ascii="Arial" w:hAnsi="Arial" w:cs="Arial"/>
        </w:rPr>
      </w:pPr>
    </w:p>
    <w:p w14:paraId="7C4D9F96" w14:textId="3D97D125" w:rsidR="008805B8" w:rsidRPr="00C03C94" w:rsidRDefault="008805B8" w:rsidP="00AB523F">
      <w:pPr>
        <w:pStyle w:val="ListParagraph"/>
        <w:widowControl/>
        <w:numPr>
          <w:ilvl w:val="0"/>
          <w:numId w:val="5"/>
        </w:numPr>
        <w:spacing w:line="240" w:lineRule="auto"/>
        <w:jc w:val="both"/>
        <w:rPr>
          <w:rFonts w:ascii="Arial" w:hAnsi="Arial" w:cs="Arial"/>
        </w:rPr>
      </w:pPr>
      <w:r w:rsidRPr="00C03C94">
        <w:rPr>
          <w:rFonts w:ascii="Arial" w:hAnsi="Arial" w:cs="Arial"/>
        </w:rPr>
        <w:t>Further analysis is urgently needed to understand how the increase in the National Living Wage will impact on costs to adult social care providers.  </w:t>
      </w:r>
    </w:p>
    <w:p w14:paraId="230CAE0D" w14:textId="77777777" w:rsidR="005557F7" w:rsidRPr="00C03C94" w:rsidRDefault="005557F7" w:rsidP="00AE3E83">
      <w:pPr>
        <w:spacing w:line="240" w:lineRule="auto"/>
        <w:jc w:val="both"/>
        <w:rPr>
          <w:rFonts w:ascii="Arial" w:eastAsia="Arial" w:hAnsi="Arial" w:cs="Arial"/>
          <w:b/>
          <w:u w:val="single"/>
        </w:rPr>
      </w:pPr>
    </w:p>
    <w:p w14:paraId="68DA7320" w14:textId="34D309C5" w:rsidR="00F90CFF" w:rsidRPr="00C03C94" w:rsidRDefault="00F90CFF" w:rsidP="00F90CFF">
      <w:pPr>
        <w:rPr>
          <w:rFonts w:ascii="Arial" w:eastAsia="Arial" w:hAnsi="Arial" w:cs="Arial"/>
          <w:b/>
          <w:u w:val="single"/>
        </w:rPr>
      </w:pPr>
      <w:r w:rsidRPr="00C03C94">
        <w:rPr>
          <w:rFonts w:ascii="Arial" w:eastAsia="Arial" w:hAnsi="Arial" w:cs="Arial"/>
          <w:b/>
          <w:u w:val="single"/>
        </w:rPr>
        <w:t>National Insurance</w:t>
      </w:r>
    </w:p>
    <w:p w14:paraId="7BBADCFD" w14:textId="77777777" w:rsidR="00F90CFF" w:rsidRPr="00C03C94" w:rsidRDefault="00F90CFF" w:rsidP="00F90CFF">
      <w:pPr>
        <w:rPr>
          <w:rFonts w:ascii="Arial" w:eastAsia="Arial" w:hAnsi="Arial" w:cs="Arial"/>
          <w:b/>
          <w:u w:val="single"/>
        </w:rPr>
      </w:pPr>
    </w:p>
    <w:p w14:paraId="354EA884" w14:textId="07A28728" w:rsidR="00F90CFF" w:rsidRPr="00C03C94" w:rsidRDefault="00F90CFF" w:rsidP="00F90CFF">
      <w:pPr>
        <w:rPr>
          <w:rFonts w:ascii="Arial" w:hAnsi="Arial" w:cs="Arial"/>
          <w:b/>
          <w:bCs/>
        </w:rPr>
      </w:pPr>
      <w:r w:rsidRPr="00C03C94">
        <w:rPr>
          <w:rFonts w:ascii="Arial" w:hAnsi="Arial" w:cs="Arial"/>
          <w:b/>
          <w:bCs/>
        </w:rPr>
        <w:t>The Chancellor announced</w:t>
      </w:r>
      <w:r w:rsidR="00620311" w:rsidRPr="00C03C94">
        <w:rPr>
          <w:rFonts w:ascii="Arial" w:hAnsi="Arial" w:cs="Arial"/>
          <w:b/>
          <w:bCs/>
        </w:rPr>
        <w:t>:</w:t>
      </w:r>
    </w:p>
    <w:p w14:paraId="25A3AF90" w14:textId="77777777" w:rsidR="00F90CFF" w:rsidRPr="00C03C94" w:rsidRDefault="00F90CFF" w:rsidP="00F90CFF">
      <w:pPr>
        <w:rPr>
          <w:rFonts w:ascii="Arial" w:hAnsi="Arial" w:cs="Arial"/>
        </w:rPr>
      </w:pPr>
    </w:p>
    <w:p w14:paraId="085295D8" w14:textId="3A4B325A" w:rsidR="00F90CFF" w:rsidRPr="00C03C94" w:rsidRDefault="00F90CFF" w:rsidP="00AB523F">
      <w:pPr>
        <w:pStyle w:val="ListParagraph"/>
        <w:widowControl/>
        <w:numPr>
          <w:ilvl w:val="0"/>
          <w:numId w:val="46"/>
        </w:numPr>
        <w:spacing w:line="240" w:lineRule="auto"/>
        <w:jc w:val="both"/>
        <w:rPr>
          <w:rFonts w:ascii="Arial" w:hAnsi="Arial" w:cs="Arial"/>
        </w:rPr>
      </w:pPr>
      <w:r w:rsidRPr="00C03C94">
        <w:rPr>
          <w:rFonts w:ascii="Arial" w:hAnsi="Arial" w:cs="Arial"/>
        </w:rPr>
        <w:t>As recommended by the Office of Tax Simplification (OTS), the National Insurance secondary (employer) threshold and the National Insurance primary (employee) threshold will be aligned from April 2017, meaning that both employees and employers will start paying National Insurance on weekly earnings above £157</w:t>
      </w:r>
      <w:r w:rsidR="004E12D7" w:rsidRPr="00EB7712">
        <w:rPr>
          <w:rFonts w:ascii="Arial" w:hAnsi="Arial" w:cs="Arial"/>
          <w:i/>
        </w:rPr>
        <w:t xml:space="preserve"> </w:t>
      </w:r>
      <w:r w:rsidRPr="00EB7712">
        <w:rPr>
          <w:rFonts w:ascii="Arial" w:hAnsi="Arial" w:cs="Arial"/>
          <w:i/>
        </w:rPr>
        <w:t>(Page 35, paragraph 4.7)</w:t>
      </w:r>
      <w:r w:rsidR="00EB7712">
        <w:rPr>
          <w:rFonts w:ascii="Arial" w:hAnsi="Arial" w:cs="Arial"/>
          <w:i/>
        </w:rPr>
        <w:t>.</w:t>
      </w:r>
    </w:p>
    <w:p w14:paraId="634B442D" w14:textId="77777777" w:rsidR="00F90CFF" w:rsidRPr="00C03C94" w:rsidRDefault="00F90CFF" w:rsidP="00F90CFF">
      <w:pPr>
        <w:rPr>
          <w:rFonts w:ascii="Arial" w:hAnsi="Arial" w:cs="Arial"/>
        </w:rPr>
      </w:pPr>
    </w:p>
    <w:p w14:paraId="527858F6" w14:textId="180B0828" w:rsidR="00F90CFF" w:rsidRPr="00C03C94" w:rsidRDefault="005D2F12" w:rsidP="00F90CFF">
      <w:pPr>
        <w:rPr>
          <w:rFonts w:ascii="Arial" w:hAnsi="Arial" w:cs="Arial"/>
          <w:b/>
          <w:bCs/>
        </w:rPr>
      </w:pPr>
      <w:r>
        <w:rPr>
          <w:rFonts w:ascii="Arial" w:hAnsi="Arial" w:cs="Arial"/>
          <w:b/>
          <w:bCs/>
        </w:rPr>
        <w:t>LGA v</w:t>
      </w:r>
      <w:r w:rsidR="00F90CFF" w:rsidRPr="00C03C94">
        <w:rPr>
          <w:rFonts w:ascii="Arial" w:hAnsi="Arial" w:cs="Arial"/>
          <w:b/>
          <w:bCs/>
        </w:rPr>
        <w:t>iew</w:t>
      </w:r>
      <w:r w:rsidR="00620311" w:rsidRPr="00C03C94">
        <w:rPr>
          <w:rFonts w:ascii="Arial" w:hAnsi="Arial" w:cs="Arial"/>
          <w:b/>
          <w:bCs/>
        </w:rPr>
        <w:t>:</w:t>
      </w:r>
    </w:p>
    <w:p w14:paraId="6DF9C322" w14:textId="77777777" w:rsidR="00F90CFF" w:rsidRPr="00C03C94" w:rsidRDefault="00F90CFF" w:rsidP="00F90CFF">
      <w:pPr>
        <w:rPr>
          <w:rFonts w:ascii="Arial" w:hAnsi="Arial" w:cs="Arial"/>
        </w:rPr>
      </w:pPr>
    </w:p>
    <w:p w14:paraId="21BFF387" w14:textId="6E11B5CF" w:rsidR="00F90CFF" w:rsidRPr="00C03C94" w:rsidRDefault="00F90CFF" w:rsidP="00F90CFF">
      <w:pPr>
        <w:pStyle w:val="ListParagraph"/>
        <w:widowControl/>
        <w:numPr>
          <w:ilvl w:val="0"/>
          <w:numId w:val="46"/>
        </w:numPr>
        <w:spacing w:line="240" w:lineRule="auto"/>
        <w:rPr>
          <w:rFonts w:ascii="Arial" w:hAnsi="Arial" w:cs="Arial"/>
        </w:rPr>
      </w:pPr>
      <w:r w:rsidRPr="00C03C94">
        <w:rPr>
          <w:rFonts w:ascii="Arial" w:hAnsi="Arial" w:cs="Arial"/>
        </w:rPr>
        <w:t xml:space="preserve">This </w:t>
      </w:r>
      <w:r w:rsidR="00620311" w:rsidRPr="00C03C94">
        <w:rPr>
          <w:rFonts w:ascii="Arial" w:hAnsi="Arial" w:cs="Arial"/>
        </w:rPr>
        <w:t>will result in a</w:t>
      </w:r>
      <w:r w:rsidRPr="00C03C94">
        <w:rPr>
          <w:rFonts w:ascii="Arial" w:hAnsi="Arial" w:cs="Arial"/>
        </w:rPr>
        <w:t xml:space="preserve"> new cost burden on local government. Councils expect this to be funded appropriately in line with the new burdens doctrine.</w:t>
      </w:r>
    </w:p>
    <w:p w14:paraId="5BEE4567" w14:textId="77777777" w:rsidR="00F90CFF" w:rsidRPr="00C03C94" w:rsidRDefault="00F90CFF" w:rsidP="00F90CFF">
      <w:pPr>
        <w:rPr>
          <w:rFonts w:ascii="Arial" w:hAnsi="Arial" w:cs="Arial"/>
        </w:rPr>
      </w:pPr>
    </w:p>
    <w:p w14:paraId="56047FE1" w14:textId="77777777" w:rsidR="006D4ED6" w:rsidRPr="00C03C94" w:rsidRDefault="006D4ED6" w:rsidP="006D4ED6">
      <w:pPr>
        <w:spacing w:line="240" w:lineRule="auto"/>
        <w:rPr>
          <w:rFonts w:ascii="Arial" w:hAnsi="Arial" w:cs="Arial"/>
          <w:b/>
          <w:u w:val="single"/>
          <w:lang w:val="en"/>
        </w:rPr>
      </w:pPr>
      <w:r w:rsidRPr="00C03C94">
        <w:rPr>
          <w:rFonts w:ascii="Arial" w:hAnsi="Arial" w:cs="Arial"/>
          <w:b/>
          <w:u w:val="single"/>
          <w:lang w:val="en"/>
        </w:rPr>
        <w:t xml:space="preserve">Off-payroll working rules </w:t>
      </w:r>
    </w:p>
    <w:p w14:paraId="5DCF64B3" w14:textId="77777777" w:rsidR="006D4ED6" w:rsidRPr="00C03C94" w:rsidRDefault="006D4ED6" w:rsidP="006D4ED6">
      <w:pPr>
        <w:spacing w:line="240" w:lineRule="auto"/>
        <w:rPr>
          <w:rFonts w:ascii="Arial" w:hAnsi="Arial" w:cs="Arial"/>
          <w:b/>
          <w:lang w:val="en"/>
        </w:rPr>
      </w:pPr>
    </w:p>
    <w:p w14:paraId="007D8443" w14:textId="19106A71" w:rsidR="006D4ED6" w:rsidRPr="00C03C94" w:rsidRDefault="006D4ED6" w:rsidP="006D4ED6">
      <w:pPr>
        <w:spacing w:line="240" w:lineRule="auto"/>
        <w:rPr>
          <w:rFonts w:ascii="Arial" w:hAnsi="Arial" w:cs="Arial"/>
        </w:rPr>
      </w:pPr>
      <w:r w:rsidRPr="00C03C94">
        <w:rPr>
          <w:rFonts w:ascii="Arial" w:hAnsi="Arial" w:cs="Arial"/>
          <w:b/>
        </w:rPr>
        <w:t>The Chancellor announced:</w:t>
      </w:r>
    </w:p>
    <w:p w14:paraId="5F1695CB" w14:textId="77777777" w:rsidR="006D4ED6" w:rsidRPr="00C03C94" w:rsidRDefault="006D4ED6" w:rsidP="006D4ED6">
      <w:pPr>
        <w:spacing w:line="240" w:lineRule="auto"/>
        <w:rPr>
          <w:rFonts w:ascii="Arial" w:hAnsi="Arial" w:cs="Arial"/>
          <w:b/>
          <w:lang w:val="en"/>
        </w:rPr>
      </w:pPr>
    </w:p>
    <w:p w14:paraId="016B3D1B" w14:textId="5F129A00" w:rsidR="006D4ED6" w:rsidRPr="00C03C94" w:rsidRDefault="006D4ED6" w:rsidP="00AB523F">
      <w:pPr>
        <w:pStyle w:val="ListParagraph"/>
        <w:numPr>
          <w:ilvl w:val="0"/>
          <w:numId w:val="5"/>
        </w:numPr>
        <w:spacing w:line="240" w:lineRule="auto"/>
        <w:jc w:val="both"/>
        <w:rPr>
          <w:rFonts w:ascii="Arial" w:hAnsi="Arial" w:cs="Arial"/>
          <w:lang w:val="en"/>
        </w:rPr>
      </w:pPr>
      <w:r w:rsidRPr="00C03C94">
        <w:rPr>
          <w:rFonts w:ascii="Arial" w:hAnsi="Arial" w:cs="Arial"/>
          <w:lang w:val="en"/>
        </w:rPr>
        <w:t xml:space="preserve">Reforms to off-payroll working rules in the public sector from April 2017 by moving responsibility for operating them, and paying the correct tax, to the body paying the worker’s company. In response to feedback during the consultation, the 5 per cent tax-free allowance will be removed for those working in the public sector, reflecting the fact that workers no longer bear the administrative burden of deciding whether the rules apply </w:t>
      </w:r>
      <w:r w:rsidRPr="00EB7712">
        <w:rPr>
          <w:rFonts w:ascii="Arial" w:hAnsi="Arial" w:cs="Arial"/>
          <w:i/>
          <w:lang w:val="en"/>
        </w:rPr>
        <w:t xml:space="preserve">(Page 36 </w:t>
      </w:r>
      <w:r w:rsidR="00206952">
        <w:rPr>
          <w:rFonts w:ascii="Arial" w:hAnsi="Arial" w:cs="Arial"/>
          <w:i/>
          <w:lang w:val="en"/>
        </w:rPr>
        <w:t>p</w:t>
      </w:r>
      <w:r w:rsidRPr="00EB7712">
        <w:rPr>
          <w:rFonts w:ascii="Arial" w:hAnsi="Arial" w:cs="Arial"/>
          <w:i/>
          <w:lang w:val="en"/>
        </w:rPr>
        <w:t>aragraph 4.11)</w:t>
      </w:r>
      <w:r w:rsidR="00EB7712">
        <w:rPr>
          <w:rFonts w:ascii="Arial" w:hAnsi="Arial" w:cs="Arial"/>
          <w:i/>
          <w:lang w:val="en"/>
        </w:rPr>
        <w:t>.</w:t>
      </w:r>
    </w:p>
    <w:p w14:paraId="0A13DDB9" w14:textId="77777777" w:rsidR="006D4ED6" w:rsidRPr="00C03C94" w:rsidRDefault="006D4ED6" w:rsidP="006D4ED6">
      <w:pPr>
        <w:spacing w:line="240" w:lineRule="auto"/>
        <w:rPr>
          <w:rFonts w:ascii="Arial" w:hAnsi="Arial" w:cs="Arial"/>
          <w:lang w:val="en"/>
        </w:rPr>
      </w:pPr>
    </w:p>
    <w:p w14:paraId="372DBC6E" w14:textId="358188A4" w:rsidR="006D4ED6" w:rsidRPr="00C03C94" w:rsidRDefault="006D4ED6" w:rsidP="006D4ED6">
      <w:pPr>
        <w:spacing w:line="240" w:lineRule="auto"/>
        <w:rPr>
          <w:rFonts w:ascii="Arial" w:hAnsi="Arial" w:cs="Arial"/>
          <w:b/>
          <w:lang w:val="en"/>
        </w:rPr>
      </w:pPr>
      <w:r w:rsidRPr="00C03C94">
        <w:rPr>
          <w:rFonts w:ascii="Arial" w:hAnsi="Arial" w:cs="Arial"/>
          <w:b/>
          <w:lang w:val="en"/>
        </w:rPr>
        <w:t xml:space="preserve">LGA </w:t>
      </w:r>
      <w:r w:rsidR="005D2F12">
        <w:rPr>
          <w:rFonts w:ascii="Arial" w:hAnsi="Arial" w:cs="Arial"/>
          <w:b/>
          <w:lang w:val="en"/>
        </w:rPr>
        <w:t>v</w:t>
      </w:r>
      <w:r w:rsidRPr="00C03C94">
        <w:rPr>
          <w:rFonts w:ascii="Arial" w:hAnsi="Arial" w:cs="Arial"/>
          <w:b/>
          <w:lang w:val="en"/>
        </w:rPr>
        <w:t>iew:</w:t>
      </w:r>
    </w:p>
    <w:p w14:paraId="0D76FB55" w14:textId="77777777" w:rsidR="006D4ED6" w:rsidRPr="00C03C94" w:rsidRDefault="006D4ED6" w:rsidP="006D4ED6">
      <w:pPr>
        <w:spacing w:line="240" w:lineRule="auto"/>
        <w:rPr>
          <w:rFonts w:ascii="Arial" w:hAnsi="Arial" w:cs="Arial"/>
          <w:lang w:val="en"/>
        </w:rPr>
      </w:pPr>
    </w:p>
    <w:p w14:paraId="70A28C1B" w14:textId="0CDFF5A1" w:rsidR="00C773EB" w:rsidRPr="00C03C94" w:rsidRDefault="006D4ED6" w:rsidP="00477CCD">
      <w:pPr>
        <w:pStyle w:val="ListParagraph"/>
        <w:numPr>
          <w:ilvl w:val="0"/>
          <w:numId w:val="5"/>
        </w:numPr>
        <w:spacing w:line="240" w:lineRule="auto"/>
        <w:jc w:val="both"/>
        <w:rPr>
          <w:rFonts w:ascii="Arial" w:eastAsia="Arial" w:hAnsi="Arial" w:cs="Arial"/>
        </w:rPr>
      </w:pPr>
      <w:r w:rsidRPr="00C03C94">
        <w:rPr>
          <w:rFonts w:ascii="Arial" w:hAnsi="Arial" w:cs="Arial"/>
          <w:lang w:val="en"/>
        </w:rPr>
        <w:t xml:space="preserve">The LGA has long taken the view that off-payroll working arrangements need to be used very carefully and with proper justification. This is a confirmation announcement and we will continue to explore the administrative implications for councils as employers. </w:t>
      </w:r>
      <w:r w:rsidR="00620311" w:rsidRPr="00C03C94">
        <w:rPr>
          <w:rFonts w:ascii="Arial" w:hAnsi="Arial" w:cs="Arial"/>
          <w:lang w:val="en"/>
        </w:rPr>
        <w:t>It is imperative that the full implications of these proposals are understood.</w:t>
      </w:r>
      <w:r w:rsidR="005A2693" w:rsidRPr="00C03C94">
        <w:rPr>
          <w:rFonts w:ascii="Arial" w:hAnsi="Arial" w:cs="Arial"/>
          <w:lang w:val="en"/>
        </w:rPr>
        <w:t xml:space="preserve"> We object</w:t>
      </w:r>
      <w:r w:rsidR="001B4352" w:rsidRPr="00C03C94">
        <w:rPr>
          <w:rFonts w:ascii="Arial" w:hAnsi="Arial" w:cs="Arial"/>
          <w:lang w:val="en"/>
        </w:rPr>
        <w:t>ed</w:t>
      </w:r>
      <w:r w:rsidR="005A2693" w:rsidRPr="00C03C94">
        <w:rPr>
          <w:rFonts w:ascii="Arial" w:hAnsi="Arial" w:cs="Arial"/>
          <w:lang w:val="en"/>
        </w:rPr>
        <w:t xml:space="preserve"> to these reforms being applied only to the public sector and will seek clarification as to w</w:t>
      </w:r>
      <w:r w:rsidR="001B4352" w:rsidRPr="00C03C94">
        <w:rPr>
          <w:rFonts w:ascii="Arial" w:hAnsi="Arial" w:cs="Arial"/>
          <w:lang w:val="en"/>
        </w:rPr>
        <w:t>hether they will be introduced consistently across sectors</w:t>
      </w:r>
      <w:r w:rsidR="005A2693" w:rsidRPr="00C03C94">
        <w:rPr>
          <w:rFonts w:ascii="Arial" w:hAnsi="Arial" w:cs="Arial"/>
          <w:lang w:val="en"/>
        </w:rPr>
        <w:t>.</w:t>
      </w:r>
    </w:p>
    <w:p w14:paraId="1391E568" w14:textId="77777777" w:rsidR="00C773EB" w:rsidRPr="00C03C94" w:rsidRDefault="00C773EB" w:rsidP="00C773EB">
      <w:pPr>
        <w:spacing w:line="240" w:lineRule="auto"/>
        <w:jc w:val="both"/>
        <w:rPr>
          <w:rFonts w:ascii="Arial" w:eastAsia="Arial" w:hAnsi="Arial" w:cs="Arial"/>
        </w:rPr>
      </w:pPr>
    </w:p>
    <w:p w14:paraId="17540AD7" w14:textId="42B848A9" w:rsidR="00C773EB" w:rsidRPr="00C03C94" w:rsidRDefault="00BA6A7D" w:rsidP="00C773EB">
      <w:pPr>
        <w:spacing w:line="240" w:lineRule="auto"/>
        <w:rPr>
          <w:rFonts w:ascii="Arial" w:hAnsi="Arial" w:cs="Arial"/>
          <w:b/>
          <w:u w:val="single"/>
        </w:rPr>
      </w:pPr>
      <w:r>
        <w:rPr>
          <w:rFonts w:ascii="Arial" w:hAnsi="Arial" w:cs="Arial"/>
          <w:b/>
          <w:u w:val="single"/>
        </w:rPr>
        <w:t>Taxation, s</w:t>
      </w:r>
      <w:r w:rsidR="00C773EB" w:rsidRPr="00C03C94">
        <w:rPr>
          <w:rFonts w:ascii="Arial" w:hAnsi="Arial" w:cs="Arial"/>
          <w:b/>
          <w:u w:val="single"/>
        </w:rPr>
        <w:t xml:space="preserve">alary </w:t>
      </w:r>
      <w:r>
        <w:rPr>
          <w:rFonts w:ascii="Arial" w:hAnsi="Arial" w:cs="Arial"/>
          <w:b/>
          <w:u w:val="single"/>
        </w:rPr>
        <w:t>s</w:t>
      </w:r>
      <w:r w:rsidR="00C773EB" w:rsidRPr="00C03C94">
        <w:rPr>
          <w:rFonts w:ascii="Arial" w:hAnsi="Arial" w:cs="Arial"/>
          <w:b/>
          <w:u w:val="single"/>
        </w:rPr>
        <w:t>acrifice, benefits in kind and expenses</w:t>
      </w:r>
    </w:p>
    <w:p w14:paraId="7CC932D8" w14:textId="77777777" w:rsidR="00C773EB" w:rsidRPr="00C03C94" w:rsidRDefault="00C773EB" w:rsidP="00C773EB">
      <w:pPr>
        <w:spacing w:line="240" w:lineRule="auto"/>
        <w:rPr>
          <w:rFonts w:ascii="Arial" w:hAnsi="Arial" w:cs="Arial"/>
        </w:rPr>
      </w:pPr>
    </w:p>
    <w:p w14:paraId="06AC2077" w14:textId="77777777" w:rsidR="00C773EB" w:rsidRPr="00C03C94" w:rsidRDefault="00C773EB" w:rsidP="00C773EB">
      <w:pPr>
        <w:spacing w:line="240" w:lineRule="auto"/>
        <w:rPr>
          <w:rFonts w:ascii="Arial" w:hAnsi="Arial" w:cs="Arial"/>
          <w:b/>
        </w:rPr>
      </w:pPr>
      <w:r w:rsidRPr="00C03C94">
        <w:rPr>
          <w:rFonts w:ascii="Arial" w:hAnsi="Arial" w:cs="Arial"/>
          <w:b/>
        </w:rPr>
        <w:t>The Chancellor announced:</w:t>
      </w:r>
    </w:p>
    <w:p w14:paraId="1DA32E24" w14:textId="77777777" w:rsidR="00C773EB" w:rsidRPr="00C03C94" w:rsidRDefault="00C773EB" w:rsidP="00C773EB">
      <w:pPr>
        <w:spacing w:line="240" w:lineRule="auto"/>
        <w:rPr>
          <w:rFonts w:ascii="Arial" w:hAnsi="Arial" w:cs="Arial"/>
        </w:rPr>
      </w:pPr>
    </w:p>
    <w:p w14:paraId="77A8DF51" w14:textId="7F0B6FBE" w:rsidR="00C773EB" w:rsidRDefault="00C773EB" w:rsidP="00AB523F">
      <w:pPr>
        <w:pStyle w:val="NormalWeb"/>
        <w:numPr>
          <w:ilvl w:val="0"/>
          <w:numId w:val="7"/>
        </w:numPr>
        <w:spacing w:before="0" w:beforeAutospacing="0" w:after="0" w:afterAutospacing="0"/>
        <w:jc w:val="both"/>
        <w:rPr>
          <w:rFonts w:ascii="Arial" w:hAnsi="Arial" w:cs="Arial"/>
          <w:sz w:val="22"/>
          <w:szCs w:val="22"/>
          <w:lang w:val="en"/>
        </w:rPr>
      </w:pPr>
      <w:r w:rsidRPr="00C03C94">
        <w:rPr>
          <w:rFonts w:ascii="Arial" w:hAnsi="Arial" w:cs="Arial"/>
          <w:sz w:val="22"/>
          <w:szCs w:val="22"/>
          <w:lang w:val="en"/>
        </w:rPr>
        <w:t>Following consultation, the tax and employer National Insurance advantages of salary sacrifice schemes will be removed from April 2017, except for arrangements relating to pensions (including advice), childcare, Cycle to Work and ultra-low emission cars. Arrangements in place before April 2017 will be protected until April 2018, and arrangements for cars, accommodation and school fees will be protected until April 2021. </w:t>
      </w:r>
    </w:p>
    <w:p w14:paraId="48A11303" w14:textId="77777777" w:rsidR="0002051F" w:rsidRPr="00C03C94" w:rsidRDefault="0002051F" w:rsidP="0002051F">
      <w:pPr>
        <w:pStyle w:val="NormalWeb"/>
        <w:spacing w:before="0" w:beforeAutospacing="0" w:after="0" w:afterAutospacing="0"/>
        <w:ind w:left="360"/>
        <w:jc w:val="both"/>
        <w:rPr>
          <w:rFonts w:ascii="Arial" w:hAnsi="Arial" w:cs="Arial"/>
          <w:sz w:val="22"/>
          <w:szCs w:val="22"/>
          <w:lang w:val="en"/>
        </w:rPr>
      </w:pPr>
    </w:p>
    <w:p w14:paraId="248C104D" w14:textId="522337DD" w:rsidR="00C773EB" w:rsidRDefault="00C773EB" w:rsidP="00AB523F">
      <w:pPr>
        <w:pStyle w:val="NormalWeb"/>
        <w:numPr>
          <w:ilvl w:val="0"/>
          <w:numId w:val="7"/>
        </w:numPr>
        <w:spacing w:before="0" w:beforeAutospacing="0" w:after="0" w:afterAutospacing="0"/>
        <w:jc w:val="both"/>
        <w:rPr>
          <w:rFonts w:ascii="Arial" w:hAnsi="Arial" w:cs="Arial"/>
          <w:sz w:val="22"/>
          <w:szCs w:val="22"/>
          <w:lang w:val="en"/>
        </w:rPr>
      </w:pPr>
      <w:r w:rsidRPr="00C03C94">
        <w:rPr>
          <w:rFonts w:ascii="Arial" w:hAnsi="Arial" w:cs="Arial"/>
          <w:sz w:val="22"/>
          <w:szCs w:val="22"/>
          <w:lang w:val="en"/>
        </w:rPr>
        <w:t>The Government will consider how benefits in kind are valued for tax purposes, publishing a consultation on employer-provided living accommodation and a call for evidence on the valuation of all other benefits in kind at the 2017 Budget.</w:t>
      </w:r>
    </w:p>
    <w:p w14:paraId="66632D68" w14:textId="77777777" w:rsidR="0002051F" w:rsidRPr="00C03C94" w:rsidRDefault="0002051F" w:rsidP="0002051F">
      <w:pPr>
        <w:pStyle w:val="NormalWeb"/>
        <w:spacing w:before="0" w:beforeAutospacing="0" w:after="0" w:afterAutospacing="0"/>
        <w:jc w:val="both"/>
        <w:rPr>
          <w:rFonts w:ascii="Arial" w:hAnsi="Arial" w:cs="Arial"/>
          <w:sz w:val="22"/>
          <w:szCs w:val="22"/>
          <w:lang w:val="en"/>
        </w:rPr>
      </w:pPr>
    </w:p>
    <w:p w14:paraId="198E5ABD" w14:textId="1E9A094F" w:rsidR="00C773EB" w:rsidRPr="00C03C94" w:rsidRDefault="00C773EB" w:rsidP="00AB523F">
      <w:pPr>
        <w:pStyle w:val="NormalWeb"/>
        <w:numPr>
          <w:ilvl w:val="0"/>
          <w:numId w:val="7"/>
        </w:numPr>
        <w:spacing w:before="0" w:beforeAutospacing="0" w:after="0" w:afterAutospacing="0"/>
        <w:jc w:val="both"/>
        <w:rPr>
          <w:rFonts w:ascii="Arial" w:hAnsi="Arial" w:cs="Arial"/>
          <w:sz w:val="22"/>
          <w:szCs w:val="22"/>
          <w:lang w:val="en"/>
        </w:rPr>
      </w:pPr>
      <w:r w:rsidRPr="00C03C94">
        <w:rPr>
          <w:rFonts w:ascii="Arial" w:hAnsi="Arial" w:cs="Arial"/>
          <w:sz w:val="22"/>
          <w:szCs w:val="22"/>
          <w:lang w:val="en"/>
        </w:rPr>
        <w:t xml:space="preserve">The </w:t>
      </w:r>
      <w:r w:rsidR="005D2F12">
        <w:rPr>
          <w:rFonts w:ascii="Arial" w:hAnsi="Arial" w:cs="Arial"/>
          <w:sz w:val="22"/>
          <w:szCs w:val="22"/>
          <w:lang w:val="en"/>
        </w:rPr>
        <w:t>G</w:t>
      </w:r>
      <w:r w:rsidRPr="00C03C94">
        <w:rPr>
          <w:rFonts w:ascii="Arial" w:hAnsi="Arial" w:cs="Arial"/>
          <w:sz w:val="22"/>
          <w:szCs w:val="22"/>
          <w:lang w:val="en"/>
        </w:rPr>
        <w:t xml:space="preserve">overnment will publish a call for evidence at Budget 2017 on the use of the income tax relief for employees’ business expenses, including those that are not reimbursed by their employer </w:t>
      </w:r>
      <w:r w:rsidRPr="00EB7712">
        <w:rPr>
          <w:rFonts w:ascii="Arial" w:hAnsi="Arial" w:cs="Arial"/>
          <w:i/>
          <w:sz w:val="22"/>
          <w:szCs w:val="22"/>
          <w:lang w:val="en"/>
        </w:rPr>
        <w:t>(Page 36</w:t>
      </w:r>
      <w:r w:rsidR="00206952">
        <w:rPr>
          <w:rFonts w:ascii="Arial" w:hAnsi="Arial" w:cs="Arial"/>
          <w:i/>
          <w:sz w:val="22"/>
          <w:szCs w:val="22"/>
          <w:lang w:val="en"/>
        </w:rPr>
        <w:t>,</w:t>
      </w:r>
      <w:r w:rsidRPr="00EB7712">
        <w:rPr>
          <w:rFonts w:ascii="Arial" w:hAnsi="Arial" w:cs="Arial"/>
          <w:i/>
          <w:sz w:val="22"/>
          <w:szCs w:val="22"/>
          <w:lang w:val="en"/>
        </w:rPr>
        <w:t xml:space="preserve"> </w:t>
      </w:r>
      <w:r w:rsidR="00206952">
        <w:rPr>
          <w:rFonts w:ascii="Arial" w:hAnsi="Arial" w:cs="Arial"/>
          <w:i/>
          <w:sz w:val="22"/>
          <w:szCs w:val="22"/>
          <w:lang w:val="en"/>
        </w:rPr>
        <w:t>p</w:t>
      </w:r>
      <w:r w:rsidRPr="00EB7712">
        <w:rPr>
          <w:rFonts w:ascii="Arial" w:hAnsi="Arial" w:cs="Arial"/>
          <w:i/>
          <w:sz w:val="22"/>
          <w:szCs w:val="22"/>
        </w:rPr>
        <w:t>aragraph 4.13)</w:t>
      </w:r>
      <w:r w:rsidR="00EB7712">
        <w:rPr>
          <w:rFonts w:ascii="Arial" w:hAnsi="Arial" w:cs="Arial"/>
          <w:i/>
          <w:sz w:val="22"/>
          <w:szCs w:val="22"/>
        </w:rPr>
        <w:t>.</w:t>
      </w:r>
    </w:p>
    <w:p w14:paraId="053BD237" w14:textId="77777777" w:rsidR="00C773EB" w:rsidRPr="00C03C94" w:rsidRDefault="00C773EB" w:rsidP="00C773EB">
      <w:pPr>
        <w:spacing w:line="240" w:lineRule="auto"/>
        <w:rPr>
          <w:rFonts w:ascii="Arial" w:hAnsi="Arial" w:cs="Arial"/>
        </w:rPr>
      </w:pPr>
    </w:p>
    <w:p w14:paraId="62FC3B61" w14:textId="1F64598D" w:rsidR="00C773EB" w:rsidRPr="00C03C94" w:rsidRDefault="005D2F12" w:rsidP="00C773EB">
      <w:pPr>
        <w:spacing w:line="240" w:lineRule="auto"/>
        <w:rPr>
          <w:rFonts w:ascii="Arial" w:hAnsi="Arial" w:cs="Arial"/>
          <w:b/>
        </w:rPr>
      </w:pPr>
      <w:r>
        <w:rPr>
          <w:rFonts w:ascii="Arial" w:hAnsi="Arial" w:cs="Arial"/>
          <w:b/>
        </w:rPr>
        <w:t>LGA v</w:t>
      </w:r>
      <w:r w:rsidR="00C773EB" w:rsidRPr="00C03C94">
        <w:rPr>
          <w:rFonts w:ascii="Arial" w:hAnsi="Arial" w:cs="Arial"/>
          <w:b/>
        </w:rPr>
        <w:t>iew:</w:t>
      </w:r>
    </w:p>
    <w:p w14:paraId="1941602E" w14:textId="77777777" w:rsidR="00C773EB" w:rsidRPr="00C03C94" w:rsidRDefault="00C773EB" w:rsidP="00C773EB">
      <w:pPr>
        <w:spacing w:line="240" w:lineRule="auto"/>
        <w:rPr>
          <w:rFonts w:ascii="Arial" w:hAnsi="Arial" w:cs="Arial"/>
        </w:rPr>
      </w:pPr>
    </w:p>
    <w:p w14:paraId="017EE94F" w14:textId="359FD2DF" w:rsidR="00C773EB" w:rsidRPr="00C03C94" w:rsidRDefault="00C773EB" w:rsidP="00AB523F">
      <w:pPr>
        <w:pStyle w:val="ListParagraph"/>
        <w:numPr>
          <w:ilvl w:val="0"/>
          <w:numId w:val="5"/>
        </w:numPr>
        <w:spacing w:line="240" w:lineRule="auto"/>
        <w:jc w:val="both"/>
        <w:rPr>
          <w:rFonts w:ascii="Arial" w:hAnsi="Arial" w:cs="Arial"/>
        </w:rPr>
      </w:pPr>
      <w:r w:rsidRPr="00C03C94">
        <w:rPr>
          <w:rFonts w:ascii="Arial" w:hAnsi="Arial" w:cs="Arial"/>
        </w:rPr>
        <w:t>We will study the implications of these announcements for the use of employee incentives as tools to improve recruitment, retention and productivity. We will respond to any c</w:t>
      </w:r>
      <w:r w:rsidR="0044601C" w:rsidRPr="00C03C94">
        <w:rPr>
          <w:rFonts w:ascii="Arial" w:hAnsi="Arial" w:cs="Arial"/>
        </w:rPr>
        <w:t xml:space="preserve">onsultations </w:t>
      </w:r>
      <w:r w:rsidRPr="00C03C94">
        <w:rPr>
          <w:rFonts w:ascii="Arial" w:hAnsi="Arial" w:cs="Arial"/>
        </w:rPr>
        <w:t>as they are announced.</w:t>
      </w:r>
    </w:p>
    <w:p w14:paraId="584C2F61" w14:textId="77777777" w:rsidR="00C773EB" w:rsidRPr="00C03C94" w:rsidRDefault="00C773EB" w:rsidP="00C773EB">
      <w:pPr>
        <w:spacing w:line="240" w:lineRule="auto"/>
        <w:jc w:val="both"/>
        <w:rPr>
          <w:rFonts w:ascii="Arial" w:eastAsia="Arial" w:hAnsi="Arial" w:cs="Arial"/>
        </w:rPr>
      </w:pPr>
    </w:p>
    <w:p w14:paraId="69D91F84" w14:textId="77777777" w:rsidR="009D6182" w:rsidRPr="00C03C94" w:rsidRDefault="009D6182" w:rsidP="009D6182">
      <w:pPr>
        <w:pStyle w:val="NoSpacing"/>
        <w:rPr>
          <w:rFonts w:ascii="Arial" w:hAnsi="Arial" w:cs="Arial"/>
          <w:b/>
          <w:sz w:val="22"/>
          <w:szCs w:val="22"/>
          <w:u w:val="single"/>
        </w:rPr>
      </w:pPr>
      <w:r w:rsidRPr="00C03C94">
        <w:rPr>
          <w:rFonts w:ascii="Arial" w:hAnsi="Arial" w:cs="Arial"/>
          <w:b/>
          <w:sz w:val="22"/>
          <w:szCs w:val="22"/>
          <w:u w:val="single"/>
        </w:rPr>
        <w:t>Shale Wealth Fund</w:t>
      </w:r>
    </w:p>
    <w:p w14:paraId="499AF739" w14:textId="77777777" w:rsidR="009D6182" w:rsidRPr="00C03C94" w:rsidRDefault="009D6182" w:rsidP="009D6182">
      <w:pPr>
        <w:pStyle w:val="NoSpacing"/>
        <w:rPr>
          <w:rFonts w:ascii="Arial" w:hAnsi="Arial" w:cs="Arial"/>
          <w:b/>
          <w:sz w:val="22"/>
          <w:szCs w:val="22"/>
          <w:u w:val="single"/>
        </w:rPr>
      </w:pPr>
    </w:p>
    <w:p w14:paraId="590B319A" w14:textId="77777777" w:rsidR="009D6182" w:rsidRPr="00C03C94" w:rsidRDefault="009D6182" w:rsidP="009D6182">
      <w:pPr>
        <w:rPr>
          <w:rFonts w:ascii="Arial" w:hAnsi="Arial"/>
          <w:b/>
        </w:rPr>
      </w:pPr>
      <w:r w:rsidRPr="00C03C94">
        <w:rPr>
          <w:rFonts w:ascii="Arial" w:hAnsi="Arial" w:cs="Arial"/>
          <w:b/>
        </w:rPr>
        <w:t xml:space="preserve">The Chancellor announced: </w:t>
      </w:r>
    </w:p>
    <w:p w14:paraId="1D7AD05E" w14:textId="77777777" w:rsidR="009D6182" w:rsidRPr="00C03C94" w:rsidRDefault="009D6182" w:rsidP="009D6182">
      <w:pPr>
        <w:autoSpaceDE w:val="0"/>
        <w:autoSpaceDN w:val="0"/>
        <w:rPr>
          <w:rFonts w:ascii="Arial" w:hAnsi="Arial" w:cs="Arial"/>
        </w:rPr>
      </w:pPr>
      <w:r w:rsidRPr="00C03C94">
        <w:rPr>
          <w:rFonts w:ascii="Arial" w:hAnsi="Arial" w:cs="Arial"/>
          <w:lang w:eastAsia="en-GB"/>
        </w:rPr>
        <w:t> </w:t>
      </w:r>
    </w:p>
    <w:p w14:paraId="0B985D73" w14:textId="33755AA3" w:rsidR="009D6182" w:rsidRPr="00C03C94" w:rsidRDefault="009D6182" w:rsidP="00AB523F">
      <w:pPr>
        <w:pStyle w:val="ListParagraph"/>
        <w:numPr>
          <w:ilvl w:val="0"/>
          <w:numId w:val="11"/>
        </w:numPr>
        <w:autoSpaceDE w:val="0"/>
        <w:autoSpaceDN w:val="0"/>
        <w:jc w:val="both"/>
        <w:rPr>
          <w:rFonts w:ascii="Arial" w:hAnsi="Arial" w:cs="Arial"/>
        </w:rPr>
      </w:pPr>
      <w:r w:rsidRPr="00C03C94">
        <w:rPr>
          <w:rFonts w:ascii="Arial" w:hAnsi="Arial" w:cs="Arial"/>
          <w:lang w:eastAsia="en-GB"/>
        </w:rPr>
        <w:t>Following a consultation to ensure local communities share in the benefits of shale production, the Shale Wealth Fund will provide up to £1 billion of additional resources to local communities, over and above industry schemes and other sources of Government funding. Local communities will benefit first and determine how the money is spent in their area (</w:t>
      </w:r>
      <w:r w:rsidRPr="00C03C94">
        <w:rPr>
          <w:rFonts w:ascii="Arial" w:hAnsi="Arial" w:cs="Arial"/>
          <w:i/>
          <w:lang w:eastAsia="en-GB"/>
        </w:rPr>
        <w:t>Page 29, paragraph 3.24)</w:t>
      </w:r>
      <w:r w:rsidR="00EB7712">
        <w:rPr>
          <w:rFonts w:ascii="Arial" w:hAnsi="Arial" w:cs="Arial"/>
          <w:i/>
          <w:lang w:eastAsia="en-GB"/>
        </w:rPr>
        <w:t>.</w:t>
      </w:r>
    </w:p>
    <w:p w14:paraId="6F45BA33" w14:textId="77777777" w:rsidR="009D6182" w:rsidRPr="00C03C94" w:rsidRDefault="009D6182" w:rsidP="009D6182">
      <w:pPr>
        <w:autoSpaceDE w:val="0"/>
        <w:autoSpaceDN w:val="0"/>
        <w:rPr>
          <w:rFonts w:ascii="Arial" w:hAnsi="Arial" w:cs="Arial"/>
        </w:rPr>
      </w:pPr>
      <w:r w:rsidRPr="00C03C94">
        <w:rPr>
          <w:rFonts w:ascii="Arial" w:hAnsi="Arial" w:cs="Arial"/>
          <w:lang w:eastAsia="en-GB"/>
        </w:rPr>
        <w:t> </w:t>
      </w:r>
    </w:p>
    <w:p w14:paraId="610523EC" w14:textId="77777777" w:rsidR="009D6182" w:rsidRPr="00C03C94" w:rsidRDefault="009D6182" w:rsidP="009D6182">
      <w:pPr>
        <w:autoSpaceDE w:val="0"/>
        <w:autoSpaceDN w:val="0"/>
        <w:rPr>
          <w:rFonts w:ascii="Arial" w:hAnsi="Arial" w:cs="Arial"/>
        </w:rPr>
      </w:pPr>
      <w:r w:rsidRPr="00C03C94">
        <w:rPr>
          <w:rFonts w:ascii="Arial" w:hAnsi="Arial" w:cs="Arial"/>
          <w:b/>
          <w:lang w:eastAsia="en-GB"/>
        </w:rPr>
        <w:t>LGA view:</w:t>
      </w:r>
    </w:p>
    <w:p w14:paraId="1D3FF612" w14:textId="77777777" w:rsidR="009D6182" w:rsidRPr="00C03C94" w:rsidRDefault="009D6182" w:rsidP="009D6182">
      <w:pPr>
        <w:autoSpaceDE w:val="0"/>
        <w:autoSpaceDN w:val="0"/>
        <w:rPr>
          <w:rFonts w:ascii="Arial" w:hAnsi="Arial" w:cs="Arial"/>
        </w:rPr>
      </w:pPr>
      <w:r w:rsidRPr="00C03C94">
        <w:rPr>
          <w:rFonts w:ascii="Arial" w:hAnsi="Arial" w:cs="Arial"/>
          <w:lang w:eastAsia="en-GB"/>
        </w:rPr>
        <w:t> </w:t>
      </w:r>
    </w:p>
    <w:p w14:paraId="02E2A214" w14:textId="306A127D" w:rsidR="0044601C" w:rsidRPr="0002051F" w:rsidRDefault="0044601C" w:rsidP="00AB523F">
      <w:pPr>
        <w:pStyle w:val="ListParagraph"/>
        <w:numPr>
          <w:ilvl w:val="0"/>
          <w:numId w:val="11"/>
        </w:numPr>
        <w:autoSpaceDE w:val="0"/>
        <w:autoSpaceDN w:val="0"/>
        <w:jc w:val="both"/>
        <w:rPr>
          <w:rStyle w:val="MSGENFONTSTYLENAMETEMPLATEROLENUMBERMSGENFONTSTYLENAMEBYROLETEXT2"/>
          <w:shd w:val="clear" w:color="auto" w:fill="auto"/>
        </w:rPr>
      </w:pPr>
      <w:r w:rsidRPr="00C03C94">
        <w:rPr>
          <w:rStyle w:val="MSGENFONTSTYLENAMETEMPLATEROLENUMBERMSGENFONTSTYLENAMEBYROLETEXT2"/>
          <w:shd w:val="clear" w:color="auto" w:fill="auto"/>
        </w:rPr>
        <w:t>A</w:t>
      </w:r>
      <w:r w:rsidRPr="00C03C94">
        <w:rPr>
          <w:rStyle w:val="MSGENFONTSTYLENAMETEMPLATEROLENUMBERMSGENFONTSTYLENAMEBYROLETEXT2"/>
        </w:rPr>
        <w:t>ny shale gas development schemes should be a matter for local decision making and therefore be considered through the local democratic planning system.</w:t>
      </w:r>
    </w:p>
    <w:p w14:paraId="61EA22EF" w14:textId="77777777" w:rsidR="0002051F" w:rsidRPr="00C03C94" w:rsidRDefault="0002051F" w:rsidP="0002051F">
      <w:pPr>
        <w:pStyle w:val="ListParagraph"/>
        <w:autoSpaceDE w:val="0"/>
        <w:autoSpaceDN w:val="0"/>
        <w:jc w:val="both"/>
        <w:rPr>
          <w:rStyle w:val="MSGENFONTSTYLENAMETEMPLATEROLENUMBERMSGENFONTSTYLENAMEBYROLETEXT2"/>
          <w:shd w:val="clear" w:color="auto" w:fill="auto"/>
        </w:rPr>
      </w:pPr>
    </w:p>
    <w:p w14:paraId="39CFC224" w14:textId="77777777" w:rsidR="009D6182" w:rsidRPr="0002051F" w:rsidRDefault="009D6182" w:rsidP="00AB523F">
      <w:pPr>
        <w:pStyle w:val="ListParagraph"/>
        <w:numPr>
          <w:ilvl w:val="0"/>
          <w:numId w:val="11"/>
        </w:numPr>
        <w:autoSpaceDE w:val="0"/>
        <w:autoSpaceDN w:val="0"/>
        <w:jc w:val="both"/>
        <w:rPr>
          <w:rStyle w:val="MSGENFONTSTYLENAMETEMPLATEROLENUMBERMSGENFONTSTYLENAMEBYROLETEXT2"/>
          <w:shd w:val="clear" w:color="auto" w:fill="auto"/>
        </w:rPr>
      </w:pPr>
      <w:r w:rsidRPr="00C03C94">
        <w:rPr>
          <w:rStyle w:val="MSGENFONTSTYLENAMETEMPLATEROLENUMBERMSGENFONTSTYLENAMEBYROLETEXT2"/>
        </w:rPr>
        <w:t xml:space="preserve">We have welcomed the continued commitment from the Government to set up a Shale Wealth Fund from shale gas tax revenues. Local government has a central role to play in ensuring that governance arrangements reflect community preferences and offer accountability. Therefore, it is crucial that they are involved in designing and administering schemes in their areas. </w:t>
      </w:r>
    </w:p>
    <w:p w14:paraId="6E4B1871" w14:textId="77777777" w:rsidR="0002051F" w:rsidRPr="0002051F" w:rsidRDefault="0002051F" w:rsidP="0002051F">
      <w:pPr>
        <w:autoSpaceDE w:val="0"/>
        <w:autoSpaceDN w:val="0"/>
        <w:jc w:val="both"/>
        <w:rPr>
          <w:rStyle w:val="MSGENFONTSTYLENAMETEMPLATEROLENUMBERMSGENFONTSTYLENAMEBYROLETEXT2"/>
          <w:shd w:val="clear" w:color="auto" w:fill="auto"/>
        </w:rPr>
      </w:pPr>
    </w:p>
    <w:p w14:paraId="7257C25B" w14:textId="77777777" w:rsidR="009D6182" w:rsidRPr="0002051F" w:rsidRDefault="009D6182" w:rsidP="00AB523F">
      <w:pPr>
        <w:pStyle w:val="ListParagraph"/>
        <w:numPr>
          <w:ilvl w:val="0"/>
          <w:numId w:val="11"/>
        </w:numPr>
        <w:autoSpaceDE w:val="0"/>
        <w:autoSpaceDN w:val="0"/>
        <w:jc w:val="both"/>
        <w:rPr>
          <w:rStyle w:val="MSGENFONTSTYLENAMETEMPLATEROLENUMBERMSGENFONTSTYLENAMEBYROLETEXT2"/>
          <w:shd w:val="clear" w:color="auto" w:fill="auto"/>
        </w:rPr>
      </w:pPr>
      <w:r w:rsidRPr="00C03C94">
        <w:rPr>
          <w:rStyle w:val="MSGENFONTSTYLENAMETEMPLATEROLENUMBERMSGENFONTSTYLENAMEBYROLETEXT2"/>
        </w:rPr>
        <w:t xml:space="preserve">The Fund, should, where possible, seek to benefit affected communities as a whole (as opposed to paying individual households) to ensure that any benefits have a lasting legacy; be flexible in its approach to meet the needs of diverse communities and also ensure communities have a say in how any funds are spent. </w:t>
      </w:r>
    </w:p>
    <w:p w14:paraId="796DF58F" w14:textId="77777777" w:rsidR="0002051F" w:rsidRPr="0002051F" w:rsidRDefault="0002051F" w:rsidP="0002051F">
      <w:pPr>
        <w:autoSpaceDE w:val="0"/>
        <w:autoSpaceDN w:val="0"/>
        <w:jc w:val="both"/>
        <w:rPr>
          <w:rStyle w:val="MSGENFONTSTYLENAMETEMPLATEROLENUMBERMSGENFONTSTYLENAMEBYROLETEXT2"/>
          <w:shd w:val="clear" w:color="auto" w:fill="auto"/>
        </w:rPr>
      </w:pPr>
    </w:p>
    <w:p w14:paraId="2BC810C0" w14:textId="77777777" w:rsidR="009D6182" w:rsidRPr="00C03C94" w:rsidRDefault="009D6182" w:rsidP="00AB523F">
      <w:pPr>
        <w:pStyle w:val="ListParagraph"/>
        <w:numPr>
          <w:ilvl w:val="0"/>
          <w:numId w:val="11"/>
        </w:numPr>
        <w:autoSpaceDE w:val="0"/>
        <w:autoSpaceDN w:val="0"/>
        <w:jc w:val="both"/>
        <w:rPr>
          <w:rStyle w:val="MSGENFONTSTYLENAMETEMPLATEROLENUMBERMSGENFONTSTYLENAMEBYROLETEXT2"/>
          <w:shd w:val="clear" w:color="auto" w:fill="auto"/>
        </w:rPr>
      </w:pPr>
      <w:r w:rsidRPr="00C03C94">
        <w:rPr>
          <w:rStyle w:val="MSGENFONTSTYLENAMETEMPLATEROLENUMBERMSGENFONTSTYLENAMEBYROLETEXT2"/>
        </w:rPr>
        <w:t xml:space="preserve">The Government’s commitment to the Shale Wealth Fund should also be put on a statutory footing, to ensure that communities continue to benefit from the tax revenues arising throughout the whole lifetime of shale gas production.  </w:t>
      </w:r>
    </w:p>
    <w:p w14:paraId="2D5F3A96" w14:textId="62BCF774" w:rsidR="00C04F7B" w:rsidRPr="00C03C94" w:rsidRDefault="00C04F7B" w:rsidP="00C04F7B">
      <w:pPr>
        <w:autoSpaceDE w:val="0"/>
        <w:autoSpaceDN w:val="0"/>
        <w:rPr>
          <w:rFonts w:ascii="Arial" w:eastAsia="Arial" w:hAnsi="Arial" w:cs="Arial"/>
          <w:szCs w:val="22"/>
        </w:rPr>
      </w:pPr>
    </w:p>
    <w:p w14:paraId="3B5F86F2" w14:textId="7FED613F" w:rsidR="002D3793" w:rsidRPr="00C03C94" w:rsidRDefault="00183828" w:rsidP="5BBF89A0">
      <w:pPr>
        <w:spacing w:line="240" w:lineRule="auto"/>
        <w:jc w:val="both"/>
        <w:rPr>
          <w:rFonts w:ascii="Arial" w:eastAsia="Arial" w:hAnsi="Arial" w:cs="Arial"/>
          <w:b/>
          <w:u w:val="single"/>
        </w:rPr>
      </w:pPr>
      <w:r>
        <w:rPr>
          <w:rFonts w:ascii="Arial" w:eastAsia="Arial" w:hAnsi="Arial" w:cs="Arial"/>
          <w:b/>
          <w:u w:val="single"/>
        </w:rPr>
        <w:t>Universal Credit t</w:t>
      </w:r>
      <w:r w:rsidR="00471A26" w:rsidRPr="00C03C94">
        <w:rPr>
          <w:rFonts w:ascii="Arial" w:eastAsia="Arial" w:hAnsi="Arial" w:cs="Arial"/>
          <w:b/>
          <w:u w:val="single"/>
        </w:rPr>
        <w:t>aper</w:t>
      </w:r>
    </w:p>
    <w:p w14:paraId="58C16AAC" w14:textId="77777777" w:rsidR="00471A26" w:rsidRPr="00C03C94" w:rsidRDefault="00471A26" w:rsidP="5BBF89A0">
      <w:pPr>
        <w:spacing w:line="240" w:lineRule="auto"/>
        <w:jc w:val="both"/>
        <w:rPr>
          <w:rFonts w:ascii="Arial" w:eastAsia="Arial" w:hAnsi="Arial" w:cs="Arial"/>
        </w:rPr>
      </w:pPr>
    </w:p>
    <w:p w14:paraId="35DDB2D0" w14:textId="51A089B0" w:rsidR="00177ABC" w:rsidRPr="00C03C94" w:rsidRDefault="00177ABC" w:rsidP="00177ABC">
      <w:pPr>
        <w:rPr>
          <w:rFonts w:ascii="Arial" w:hAnsi="Arial" w:cs="Arial"/>
          <w:b/>
          <w:bCs/>
          <w:szCs w:val="22"/>
        </w:rPr>
      </w:pPr>
      <w:r w:rsidRPr="00C03C94">
        <w:rPr>
          <w:rFonts w:ascii="Arial" w:hAnsi="Arial" w:cs="Arial"/>
          <w:b/>
          <w:bCs/>
          <w:szCs w:val="22"/>
        </w:rPr>
        <w:t>The Chancellor announced:</w:t>
      </w:r>
    </w:p>
    <w:p w14:paraId="21E540EB" w14:textId="77777777" w:rsidR="00471A26" w:rsidRPr="00C03C94" w:rsidRDefault="00471A26" w:rsidP="00471A26">
      <w:pPr>
        <w:rPr>
          <w:rFonts w:ascii="Arial" w:hAnsi="Arial" w:cs="Arial"/>
          <w:szCs w:val="22"/>
        </w:rPr>
      </w:pPr>
    </w:p>
    <w:p w14:paraId="35E9B47F" w14:textId="1C235A03" w:rsidR="00471A26" w:rsidRPr="00C03C94" w:rsidRDefault="0060321C" w:rsidP="00AB523F">
      <w:pPr>
        <w:pStyle w:val="ListParagraph"/>
        <w:numPr>
          <w:ilvl w:val="0"/>
          <w:numId w:val="5"/>
        </w:numPr>
        <w:jc w:val="both"/>
        <w:rPr>
          <w:rFonts w:ascii="Arial" w:hAnsi="Arial" w:cs="Arial"/>
          <w:iCs/>
          <w:szCs w:val="22"/>
        </w:rPr>
      </w:pPr>
      <w:r w:rsidRPr="00C03C94">
        <w:rPr>
          <w:rFonts w:ascii="Arial" w:hAnsi="Arial" w:cs="Arial"/>
          <w:iCs/>
          <w:szCs w:val="22"/>
        </w:rPr>
        <w:t>F</w:t>
      </w:r>
      <w:r w:rsidR="00471A26" w:rsidRPr="00C03C94">
        <w:rPr>
          <w:rFonts w:ascii="Arial" w:hAnsi="Arial" w:cs="Arial"/>
          <w:iCs/>
          <w:szCs w:val="22"/>
        </w:rPr>
        <w:t>rom April 2017, the taper rate</w:t>
      </w:r>
      <w:r w:rsidRPr="00C03C94">
        <w:rPr>
          <w:rFonts w:ascii="Arial" w:hAnsi="Arial" w:cs="Arial"/>
          <w:iCs/>
          <w:szCs w:val="22"/>
        </w:rPr>
        <w:t xml:space="preserve"> -</w:t>
      </w:r>
      <w:r w:rsidR="00F250B9" w:rsidRPr="00C03C94">
        <w:rPr>
          <w:rFonts w:ascii="Arial" w:hAnsi="Arial" w:cs="Arial"/>
          <w:iCs/>
          <w:szCs w:val="22"/>
        </w:rPr>
        <w:t xml:space="preserve"> the</w:t>
      </w:r>
      <w:r w:rsidRPr="00C03C94">
        <w:rPr>
          <w:rFonts w:ascii="Arial" w:hAnsi="Arial" w:cs="Arial"/>
          <w:iCs/>
          <w:szCs w:val="22"/>
        </w:rPr>
        <w:t xml:space="preserve"> constant withdrawal rate on net earnings -</w:t>
      </w:r>
      <w:r w:rsidR="00471A26" w:rsidRPr="00C03C94">
        <w:rPr>
          <w:rFonts w:ascii="Arial" w:hAnsi="Arial" w:cs="Arial"/>
          <w:iCs/>
          <w:szCs w:val="22"/>
        </w:rPr>
        <w:t xml:space="preserve"> that applies in Universal Credit will be reduced from 65 per cent to 63</w:t>
      </w:r>
      <w:r w:rsidR="00EA6642" w:rsidRPr="00C03C94">
        <w:rPr>
          <w:rFonts w:ascii="Arial" w:hAnsi="Arial" w:cs="Arial"/>
          <w:iCs/>
          <w:szCs w:val="22"/>
        </w:rPr>
        <w:t xml:space="preserve"> per cent</w:t>
      </w:r>
      <w:r w:rsidR="00471A26" w:rsidRPr="00C03C94">
        <w:rPr>
          <w:rFonts w:ascii="Arial" w:hAnsi="Arial" w:cs="Arial"/>
          <w:iCs/>
          <w:szCs w:val="22"/>
        </w:rPr>
        <w:t>.</w:t>
      </w:r>
      <w:r w:rsidR="00001B11" w:rsidRPr="00C03C94">
        <w:rPr>
          <w:rFonts w:ascii="Arial" w:hAnsi="Arial" w:cs="Arial"/>
          <w:iCs/>
          <w:szCs w:val="22"/>
        </w:rPr>
        <w:t xml:space="preserve"> This will let individuals ke</w:t>
      </w:r>
      <w:r w:rsidRPr="00C03C94">
        <w:rPr>
          <w:rFonts w:ascii="Arial" w:hAnsi="Arial" w:cs="Arial"/>
          <w:iCs/>
          <w:szCs w:val="22"/>
        </w:rPr>
        <w:t>ep more of what they earn. The G</w:t>
      </w:r>
      <w:r w:rsidR="00001B11" w:rsidRPr="00C03C94">
        <w:rPr>
          <w:rFonts w:ascii="Arial" w:hAnsi="Arial" w:cs="Arial"/>
          <w:iCs/>
          <w:szCs w:val="22"/>
        </w:rPr>
        <w:t>overnment has estimated that 3 million households will benefit from this change</w:t>
      </w:r>
      <w:r w:rsidRPr="00C03C94">
        <w:rPr>
          <w:rFonts w:ascii="Arial" w:hAnsi="Arial" w:cs="Arial"/>
          <w:iCs/>
          <w:szCs w:val="22"/>
        </w:rPr>
        <w:t xml:space="preserve"> </w:t>
      </w:r>
      <w:r w:rsidRPr="00C03C94">
        <w:rPr>
          <w:rFonts w:ascii="Arial" w:hAnsi="Arial" w:cs="Arial"/>
          <w:i/>
          <w:iCs/>
          <w:szCs w:val="22"/>
        </w:rPr>
        <w:t xml:space="preserve">(Page 43, </w:t>
      </w:r>
      <w:r w:rsidR="00206952">
        <w:rPr>
          <w:rFonts w:ascii="Arial" w:hAnsi="Arial" w:cs="Arial"/>
          <w:i/>
          <w:iCs/>
          <w:szCs w:val="22"/>
        </w:rPr>
        <w:t>p</w:t>
      </w:r>
      <w:r w:rsidRPr="00C03C94">
        <w:rPr>
          <w:rFonts w:ascii="Arial" w:hAnsi="Arial" w:cs="Arial"/>
          <w:i/>
          <w:iCs/>
          <w:szCs w:val="22"/>
        </w:rPr>
        <w:t>aragraph 5.3)</w:t>
      </w:r>
      <w:r w:rsidR="00EB7712">
        <w:rPr>
          <w:rFonts w:ascii="Arial" w:hAnsi="Arial" w:cs="Arial"/>
          <w:i/>
          <w:iCs/>
          <w:szCs w:val="22"/>
        </w:rPr>
        <w:t>.</w:t>
      </w:r>
    </w:p>
    <w:p w14:paraId="61BE38F0" w14:textId="77777777" w:rsidR="00471A26" w:rsidRPr="00C03C94" w:rsidRDefault="00471A26" w:rsidP="00471A26">
      <w:pPr>
        <w:rPr>
          <w:rFonts w:ascii="Arial" w:hAnsi="Arial" w:cs="Arial"/>
          <w:szCs w:val="22"/>
        </w:rPr>
      </w:pPr>
    </w:p>
    <w:p w14:paraId="599B2FFE" w14:textId="41CEC00D" w:rsidR="00471A26" w:rsidRPr="00C03C94" w:rsidRDefault="0060321C" w:rsidP="00471A26">
      <w:pPr>
        <w:rPr>
          <w:rFonts w:ascii="Arial" w:hAnsi="Arial" w:cs="Arial"/>
          <w:b/>
          <w:bCs/>
          <w:szCs w:val="22"/>
        </w:rPr>
      </w:pPr>
      <w:r w:rsidRPr="00C03C94">
        <w:rPr>
          <w:rFonts w:ascii="Arial" w:hAnsi="Arial" w:cs="Arial"/>
          <w:b/>
          <w:bCs/>
          <w:szCs w:val="22"/>
        </w:rPr>
        <w:t>L</w:t>
      </w:r>
      <w:r w:rsidR="00471A26" w:rsidRPr="00C03C94">
        <w:rPr>
          <w:rFonts w:ascii="Arial" w:hAnsi="Arial" w:cs="Arial"/>
          <w:b/>
          <w:bCs/>
          <w:szCs w:val="22"/>
        </w:rPr>
        <w:t xml:space="preserve">GA </w:t>
      </w:r>
      <w:r w:rsidR="00B80D3C" w:rsidRPr="00C03C94">
        <w:rPr>
          <w:rFonts w:ascii="Arial" w:hAnsi="Arial" w:cs="Arial"/>
          <w:b/>
          <w:bCs/>
          <w:szCs w:val="22"/>
        </w:rPr>
        <w:t>v</w:t>
      </w:r>
      <w:r w:rsidR="00177ABC" w:rsidRPr="00C03C94">
        <w:rPr>
          <w:rFonts w:ascii="Arial" w:hAnsi="Arial" w:cs="Arial"/>
          <w:b/>
          <w:bCs/>
          <w:szCs w:val="22"/>
        </w:rPr>
        <w:t>iew</w:t>
      </w:r>
      <w:r w:rsidR="00B80D3C" w:rsidRPr="00C03C94">
        <w:rPr>
          <w:rFonts w:ascii="Arial" w:hAnsi="Arial" w:cs="Arial"/>
          <w:b/>
          <w:bCs/>
          <w:szCs w:val="22"/>
        </w:rPr>
        <w:t>:</w:t>
      </w:r>
    </w:p>
    <w:p w14:paraId="75E69722" w14:textId="77777777" w:rsidR="00471A26" w:rsidRPr="00C03C94" w:rsidRDefault="00471A26" w:rsidP="00471A26">
      <w:pPr>
        <w:rPr>
          <w:rFonts w:ascii="Arial" w:hAnsi="Arial" w:cs="Arial"/>
          <w:szCs w:val="22"/>
        </w:rPr>
      </w:pPr>
    </w:p>
    <w:p w14:paraId="04492276" w14:textId="504D4A8F" w:rsidR="00471A26" w:rsidRPr="00C03C94" w:rsidRDefault="00471A26" w:rsidP="00AB523F">
      <w:pPr>
        <w:pStyle w:val="ListParagraph"/>
        <w:numPr>
          <w:ilvl w:val="0"/>
          <w:numId w:val="5"/>
        </w:numPr>
        <w:jc w:val="both"/>
        <w:rPr>
          <w:rFonts w:ascii="Arial" w:hAnsi="Arial" w:cs="Arial"/>
          <w:szCs w:val="22"/>
        </w:rPr>
      </w:pPr>
      <w:r w:rsidRPr="00C03C94">
        <w:rPr>
          <w:rFonts w:ascii="Arial" w:hAnsi="Arial" w:cs="Arial"/>
          <w:szCs w:val="22"/>
        </w:rPr>
        <w:t xml:space="preserve">The reduction in the taper rate is </w:t>
      </w:r>
      <w:r w:rsidR="0060321C" w:rsidRPr="00C03C94">
        <w:rPr>
          <w:rFonts w:ascii="Arial" w:hAnsi="Arial" w:cs="Arial"/>
          <w:szCs w:val="22"/>
        </w:rPr>
        <w:t>positive</w:t>
      </w:r>
      <w:r w:rsidRPr="00C03C94">
        <w:rPr>
          <w:rFonts w:ascii="Arial" w:hAnsi="Arial" w:cs="Arial"/>
          <w:szCs w:val="22"/>
        </w:rPr>
        <w:t xml:space="preserve"> news for working households and will help to restore the original ambition of Universal Credit to ensure that claimants are better off in employment.  However, the overall freeze on working age benefits will continue to place considerable and mounting pressure on low income households.  </w:t>
      </w:r>
    </w:p>
    <w:p w14:paraId="33F86DD4" w14:textId="77777777" w:rsidR="00471A26" w:rsidRPr="00C03C94" w:rsidRDefault="00471A26" w:rsidP="00AB523F">
      <w:pPr>
        <w:jc w:val="both"/>
        <w:rPr>
          <w:rFonts w:ascii="Arial" w:hAnsi="Arial" w:cs="Arial"/>
          <w:szCs w:val="22"/>
        </w:rPr>
      </w:pPr>
    </w:p>
    <w:p w14:paraId="318D1730" w14:textId="0F073D41" w:rsidR="00471A26" w:rsidRPr="00C03C94" w:rsidRDefault="0060321C" w:rsidP="00AB523F">
      <w:pPr>
        <w:pStyle w:val="ListParagraph"/>
        <w:numPr>
          <w:ilvl w:val="0"/>
          <w:numId w:val="5"/>
        </w:numPr>
        <w:jc w:val="both"/>
        <w:rPr>
          <w:rFonts w:ascii="Arial" w:hAnsi="Arial" w:cs="Arial"/>
          <w:szCs w:val="22"/>
        </w:rPr>
      </w:pPr>
      <w:r w:rsidRPr="00C03C94">
        <w:rPr>
          <w:rFonts w:ascii="Arial" w:hAnsi="Arial" w:cs="Arial"/>
          <w:szCs w:val="22"/>
        </w:rPr>
        <w:t>We remain</w:t>
      </w:r>
      <w:r w:rsidR="00471A26" w:rsidRPr="00C03C94">
        <w:rPr>
          <w:rFonts w:ascii="Arial" w:hAnsi="Arial" w:cs="Arial"/>
          <w:szCs w:val="22"/>
        </w:rPr>
        <w:t xml:space="preserve"> concerned about the impact of the freeze to the Local Housing Allowance which, coupled with rising rents, is contributing to a growing affordability gap in many parts of the country. This places unsustainable pressure on councils’ limited resources to prevent homelessness and provide a local safety net for vulnerable people.</w:t>
      </w:r>
    </w:p>
    <w:p w14:paraId="66649A49" w14:textId="4EFAE747" w:rsidR="00A95946" w:rsidRPr="00C03C94" w:rsidRDefault="00A95946" w:rsidP="5BBF89A0">
      <w:pPr>
        <w:spacing w:line="240" w:lineRule="auto"/>
        <w:jc w:val="both"/>
        <w:rPr>
          <w:rFonts w:ascii="Arial" w:eastAsia="Arial" w:hAnsi="Arial" w:cs="Arial"/>
        </w:rPr>
      </w:pPr>
    </w:p>
    <w:p w14:paraId="5A2AD445" w14:textId="436988BB" w:rsidR="002D3793" w:rsidRPr="00C03C94" w:rsidRDefault="00A95946" w:rsidP="00A95946">
      <w:pPr>
        <w:rPr>
          <w:rFonts w:ascii="Arial" w:eastAsia="Arial" w:hAnsi="Arial" w:cs="Arial"/>
          <w:b/>
          <w:u w:val="single"/>
        </w:rPr>
      </w:pPr>
      <w:r w:rsidRPr="00C03C94">
        <w:rPr>
          <w:rFonts w:ascii="Arial" w:eastAsia="Arial" w:hAnsi="Arial" w:cs="Arial"/>
          <w:b/>
          <w:u w:val="single"/>
        </w:rPr>
        <w:t>Licensing and tax conditionality</w:t>
      </w:r>
    </w:p>
    <w:p w14:paraId="4CF08D4C" w14:textId="77777777" w:rsidR="00A95946" w:rsidRPr="00C03C94" w:rsidRDefault="00A95946" w:rsidP="00A95946">
      <w:pPr>
        <w:rPr>
          <w:rFonts w:ascii="Arial" w:eastAsia="Arial" w:hAnsi="Arial" w:cs="Arial"/>
          <w:u w:val="single"/>
        </w:rPr>
      </w:pPr>
    </w:p>
    <w:p w14:paraId="39438D9F" w14:textId="52094B24" w:rsidR="00A95946" w:rsidRPr="00C03C94" w:rsidRDefault="00A95946" w:rsidP="00A95946">
      <w:pPr>
        <w:rPr>
          <w:rFonts w:ascii="Arial" w:eastAsia="Arial" w:hAnsi="Arial" w:cs="Arial"/>
          <w:b/>
        </w:rPr>
      </w:pPr>
      <w:r w:rsidRPr="00C03C94">
        <w:rPr>
          <w:rFonts w:ascii="Arial" w:eastAsia="Arial" w:hAnsi="Arial" w:cs="Arial"/>
          <w:b/>
        </w:rPr>
        <w:t>The Chancellor announced that:</w:t>
      </w:r>
    </w:p>
    <w:p w14:paraId="3EF4D7D8" w14:textId="77777777" w:rsidR="00A95946" w:rsidRPr="00C03C94" w:rsidRDefault="00A95946" w:rsidP="00A95946">
      <w:pPr>
        <w:rPr>
          <w:rFonts w:ascii="Arial" w:eastAsia="Arial" w:hAnsi="Arial" w:cs="Arial"/>
        </w:rPr>
      </w:pPr>
    </w:p>
    <w:p w14:paraId="16A18A21" w14:textId="3AE91707" w:rsidR="00A95946" w:rsidRPr="00C03C94" w:rsidRDefault="00A95946" w:rsidP="00AB523F">
      <w:pPr>
        <w:pStyle w:val="ListParagraph"/>
        <w:numPr>
          <w:ilvl w:val="0"/>
          <w:numId w:val="6"/>
        </w:numPr>
        <w:jc w:val="both"/>
        <w:rPr>
          <w:rFonts w:ascii="Arial" w:eastAsia="Arial" w:hAnsi="Arial" w:cs="Arial"/>
          <w:u w:val="single"/>
        </w:rPr>
      </w:pPr>
      <w:r w:rsidRPr="00C03C94">
        <w:rPr>
          <w:rFonts w:ascii="Arial" w:eastAsia="Arial" w:hAnsi="Arial" w:cs="Arial"/>
        </w:rPr>
        <w:t>The Government is considering whether access to licenses and services (including some local authority licenses) should be conditional on businesses being registered for tax purposes (</w:t>
      </w:r>
      <w:r w:rsidRPr="00C03C94">
        <w:rPr>
          <w:rFonts w:ascii="Arial" w:eastAsia="Arial" w:hAnsi="Arial" w:cs="Arial"/>
          <w:i/>
        </w:rPr>
        <w:t xml:space="preserve">Page 42, </w:t>
      </w:r>
      <w:r w:rsidR="00206952">
        <w:rPr>
          <w:rFonts w:ascii="Arial" w:eastAsia="Arial" w:hAnsi="Arial" w:cs="Arial"/>
          <w:i/>
        </w:rPr>
        <w:t>p</w:t>
      </w:r>
      <w:r w:rsidRPr="00C03C94">
        <w:rPr>
          <w:rFonts w:ascii="Arial" w:eastAsia="Arial" w:hAnsi="Arial" w:cs="Arial"/>
          <w:i/>
        </w:rPr>
        <w:t>aragraph 4.56)</w:t>
      </w:r>
      <w:r w:rsidR="00EB7712">
        <w:rPr>
          <w:rFonts w:ascii="Arial" w:eastAsia="Arial" w:hAnsi="Arial" w:cs="Arial"/>
          <w:i/>
        </w:rPr>
        <w:t>.</w:t>
      </w:r>
    </w:p>
    <w:p w14:paraId="3C0D67AD" w14:textId="77777777" w:rsidR="00A95946" w:rsidRPr="00C03C94" w:rsidRDefault="00A95946" w:rsidP="00A95946">
      <w:pPr>
        <w:rPr>
          <w:rFonts w:ascii="Arial" w:eastAsia="Arial" w:hAnsi="Arial" w:cs="Arial"/>
          <w:u w:val="single"/>
        </w:rPr>
      </w:pPr>
    </w:p>
    <w:p w14:paraId="073D1CDA" w14:textId="6EC86AF4" w:rsidR="00A95946" w:rsidRPr="00C03C94" w:rsidRDefault="00A95946" w:rsidP="00A95946">
      <w:pPr>
        <w:rPr>
          <w:rFonts w:ascii="Arial" w:eastAsia="Arial" w:hAnsi="Arial" w:cs="Arial"/>
          <w:b/>
        </w:rPr>
      </w:pPr>
      <w:r w:rsidRPr="00C03C94">
        <w:rPr>
          <w:rFonts w:ascii="Arial" w:eastAsia="Arial" w:hAnsi="Arial" w:cs="Arial"/>
          <w:b/>
        </w:rPr>
        <w:t>LGA view:</w:t>
      </w:r>
    </w:p>
    <w:p w14:paraId="61149C98" w14:textId="77777777" w:rsidR="00A95946" w:rsidRPr="00C03C94" w:rsidRDefault="00A95946" w:rsidP="00A95946">
      <w:pPr>
        <w:rPr>
          <w:rFonts w:ascii="Arial" w:eastAsia="Arial" w:hAnsi="Arial" w:cs="Arial"/>
        </w:rPr>
      </w:pPr>
    </w:p>
    <w:p w14:paraId="137E9F5C" w14:textId="67F7636A" w:rsidR="00A95946" w:rsidRPr="00C03C94" w:rsidRDefault="00A95946" w:rsidP="00AB523F">
      <w:pPr>
        <w:pStyle w:val="NoSpacing"/>
        <w:numPr>
          <w:ilvl w:val="0"/>
          <w:numId w:val="6"/>
        </w:numPr>
        <w:jc w:val="both"/>
        <w:rPr>
          <w:rFonts w:ascii="Arial" w:hAnsi="Arial" w:cs="Arial"/>
          <w:sz w:val="22"/>
          <w:szCs w:val="22"/>
          <w:lang w:eastAsia="en-US"/>
        </w:rPr>
      </w:pPr>
      <w:r w:rsidRPr="00C03C94">
        <w:rPr>
          <w:rFonts w:ascii="Arial" w:hAnsi="Arial" w:cs="Arial"/>
          <w:sz w:val="22"/>
          <w:szCs w:val="22"/>
        </w:rPr>
        <w:t xml:space="preserve">The LGA supports the principle of preventing businesses from entering the </w:t>
      </w:r>
      <w:r w:rsidR="00BA6A7D">
        <w:rPr>
          <w:rFonts w:ascii="Arial" w:hAnsi="Arial" w:cs="Arial"/>
          <w:sz w:val="22"/>
          <w:szCs w:val="22"/>
        </w:rPr>
        <w:t>‘</w:t>
      </w:r>
      <w:r w:rsidRPr="00C03C94">
        <w:rPr>
          <w:rFonts w:ascii="Arial" w:hAnsi="Arial" w:cs="Arial"/>
          <w:sz w:val="22"/>
          <w:szCs w:val="22"/>
        </w:rPr>
        <w:t>hidden economy</w:t>
      </w:r>
      <w:r w:rsidR="00BA6A7D">
        <w:rPr>
          <w:rFonts w:ascii="Arial" w:hAnsi="Arial" w:cs="Arial"/>
          <w:sz w:val="22"/>
          <w:szCs w:val="22"/>
        </w:rPr>
        <w:t>’</w:t>
      </w:r>
      <w:r w:rsidRPr="00C03C94">
        <w:rPr>
          <w:rFonts w:ascii="Arial" w:hAnsi="Arial" w:cs="Arial"/>
          <w:sz w:val="22"/>
          <w:szCs w:val="22"/>
        </w:rPr>
        <w:t xml:space="preserve">, but any checks introduced must be able to be undertaken quickly and simply, without shifting the </w:t>
      </w:r>
      <w:r w:rsidR="00F250B9" w:rsidRPr="00C03C94">
        <w:rPr>
          <w:rFonts w:ascii="Arial" w:hAnsi="Arial" w:cs="Arial"/>
          <w:sz w:val="22"/>
          <w:szCs w:val="22"/>
        </w:rPr>
        <w:t xml:space="preserve">administrative and financial </w:t>
      </w:r>
      <w:r w:rsidRPr="00C03C94">
        <w:rPr>
          <w:rFonts w:ascii="Arial" w:hAnsi="Arial" w:cs="Arial"/>
          <w:sz w:val="22"/>
          <w:szCs w:val="22"/>
        </w:rPr>
        <w:t>burden of monitoring tax compliance from HMRC to councils.</w:t>
      </w:r>
    </w:p>
    <w:p w14:paraId="7BB43D7F" w14:textId="77777777" w:rsidR="00A95946" w:rsidRPr="00C03C94" w:rsidRDefault="00A95946" w:rsidP="00AB523F">
      <w:pPr>
        <w:pStyle w:val="NoSpacing"/>
        <w:jc w:val="both"/>
        <w:rPr>
          <w:rFonts w:ascii="Arial" w:hAnsi="Arial" w:cs="Arial"/>
          <w:sz w:val="22"/>
          <w:szCs w:val="22"/>
        </w:rPr>
      </w:pPr>
    </w:p>
    <w:p w14:paraId="4CA8305D" w14:textId="77777777" w:rsidR="00A95946" w:rsidRPr="00C03C94" w:rsidRDefault="00A95946" w:rsidP="00AB523F">
      <w:pPr>
        <w:pStyle w:val="NoSpacing"/>
        <w:numPr>
          <w:ilvl w:val="0"/>
          <w:numId w:val="6"/>
        </w:numPr>
        <w:jc w:val="both"/>
        <w:rPr>
          <w:rFonts w:ascii="Arial" w:hAnsi="Arial" w:cs="Arial"/>
          <w:sz w:val="22"/>
          <w:szCs w:val="22"/>
        </w:rPr>
      </w:pPr>
      <w:r w:rsidRPr="00C03C94">
        <w:rPr>
          <w:rFonts w:ascii="Arial" w:hAnsi="Arial" w:cs="Arial"/>
          <w:sz w:val="22"/>
          <w:szCs w:val="22"/>
        </w:rPr>
        <w:t>The LGA also believes that the principle of conditionality could be extended to licensed businesses more widely, to enable councils to suspend the licences of businesses that repeatedly fail to pay their business rates.</w:t>
      </w:r>
    </w:p>
    <w:p w14:paraId="7B24BD78" w14:textId="77777777" w:rsidR="002E7DEF" w:rsidRPr="00C03C94" w:rsidRDefault="002E7DEF" w:rsidP="5BBF89A0">
      <w:pPr>
        <w:spacing w:line="240" w:lineRule="auto"/>
        <w:jc w:val="both"/>
        <w:rPr>
          <w:rFonts w:ascii="Arial" w:hAnsi="Arial" w:cs="Arial"/>
          <w:b/>
          <w:szCs w:val="22"/>
        </w:rPr>
      </w:pPr>
    </w:p>
    <w:p w14:paraId="6998EE13" w14:textId="45AD2714" w:rsidR="00177ABC" w:rsidRPr="00C03C94" w:rsidRDefault="00177ABC" w:rsidP="5BBF89A0">
      <w:pPr>
        <w:spacing w:line="240" w:lineRule="auto"/>
        <w:jc w:val="both"/>
        <w:rPr>
          <w:rFonts w:ascii="Arial" w:eastAsia="Arial" w:hAnsi="Arial" w:cs="Arial"/>
          <w:b/>
          <w:u w:val="single"/>
        </w:rPr>
      </w:pPr>
      <w:r w:rsidRPr="00C03C94">
        <w:rPr>
          <w:rFonts w:ascii="Arial" w:hAnsi="Arial" w:cs="Arial"/>
          <w:b/>
          <w:szCs w:val="22"/>
          <w:u w:val="single"/>
        </w:rPr>
        <w:t>Violence against women and girls</w:t>
      </w:r>
    </w:p>
    <w:p w14:paraId="245C0569" w14:textId="77777777" w:rsidR="00177ABC" w:rsidRPr="00C03C94" w:rsidRDefault="00177ABC" w:rsidP="5BBF89A0">
      <w:pPr>
        <w:spacing w:line="240" w:lineRule="auto"/>
        <w:jc w:val="both"/>
        <w:rPr>
          <w:rFonts w:ascii="Arial" w:eastAsia="Arial" w:hAnsi="Arial" w:cs="Arial"/>
        </w:rPr>
      </w:pPr>
    </w:p>
    <w:p w14:paraId="2FB55173" w14:textId="734848AC" w:rsidR="00177ABC" w:rsidRPr="00C03C94" w:rsidRDefault="00177ABC" w:rsidP="00177ABC">
      <w:pPr>
        <w:rPr>
          <w:rFonts w:ascii="Arial" w:hAnsi="Arial" w:cs="Arial"/>
          <w:b/>
          <w:bCs/>
          <w:szCs w:val="22"/>
        </w:rPr>
      </w:pPr>
      <w:r w:rsidRPr="00C03C94">
        <w:rPr>
          <w:rFonts w:ascii="Arial" w:hAnsi="Arial" w:cs="Arial"/>
          <w:b/>
          <w:bCs/>
          <w:szCs w:val="22"/>
        </w:rPr>
        <w:t>The Chancellor has announced:</w:t>
      </w:r>
    </w:p>
    <w:p w14:paraId="13918AEE" w14:textId="77777777" w:rsidR="00177ABC" w:rsidRPr="00C03C94" w:rsidRDefault="00177ABC" w:rsidP="00AB523F">
      <w:pPr>
        <w:jc w:val="both"/>
        <w:rPr>
          <w:rFonts w:ascii="Arial" w:hAnsi="Arial" w:cs="Arial"/>
          <w:b/>
          <w:bCs/>
          <w:szCs w:val="22"/>
        </w:rPr>
      </w:pPr>
    </w:p>
    <w:p w14:paraId="073A7ABB" w14:textId="11F25647" w:rsidR="00177ABC" w:rsidRPr="00C03C94" w:rsidRDefault="00AB523F" w:rsidP="00AB523F">
      <w:pPr>
        <w:pStyle w:val="ListParagraph"/>
        <w:numPr>
          <w:ilvl w:val="0"/>
          <w:numId w:val="37"/>
        </w:numPr>
        <w:jc w:val="both"/>
        <w:rPr>
          <w:rFonts w:ascii="Arial" w:hAnsi="Arial" w:cs="Arial"/>
          <w:i/>
          <w:szCs w:val="22"/>
        </w:rPr>
      </w:pPr>
      <w:r w:rsidRPr="00C03C94">
        <w:rPr>
          <w:rFonts w:ascii="Arial" w:hAnsi="Arial" w:cs="Arial"/>
          <w:szCs w:val="22"/>
        </w:rPr>
        <w:t>The G</w:t>
      </w:r>
      <w:r w:rsidR="00177ABC" w:rsidRPr="00C03C94">
        <w:rPr>
          <w:rFonts w:ascii="Arial" w:hAnsi="Arial" w:cs="Arial"/>
          <w:szCs w:val="22"/>
        </w:rPr>
        <w:t>overnment will award £3 million to Comic Relief to distribute to a r</w:t>
      </w:r>
      <w:r w:rsidR="005D2F12">
        <w:rPr>
          <w:rFonts w:ascii="Arial" w:hAnsi="Arial" w:cs="Arial"/>
          <w:szCs w:val="22"/>
        </w:rPr>
        <w:t>ange of women’s charities. The G</w:t>
      </w:r>
      <w:r w:rsidR="00177ABC" w:rsidRPr="00C03C94">
        <w:rPr>
          <w:rFonts w:ascii="Arial" w:hAnsi="Arial" w:cs="Arial"/>
          <w:szCs w:val="22"/>
        </w:rPr>
        <w:t xml:space="preserve">overnment will also invite applications from charities from 1 December 2016 for the next round of </w:t>
      </w:r>
      <w:r w:rsidR="00BA6A7D">
        <w:rPr>
          <w:rFonts w:ascii="Arial" w:hAnsi="Arial" w:cs="Arial"/>
          <w:szCs w:val="22"/>
        </w:rPr>
        <w:t>‘t</w:t>
      </w:r>
      <w:r w:rsidR="00177ABC" w:rsidRPr="00C03C94">
        <w:rPr>
          <w:rFonts w:ascii="Arial" w:hAnsi="Arial" w:cs="Arial"/>
          <w:szCs w:val="22"/>
        </w:rPr>
        <w:t xml:space="preserve">ampon </w:t>
      </w:r>
      <w:r w:rsidR="00BA6A7D">
        <w:rPr>
          <w:rFonts w:ascii="Arial" w:hAnsi="Arial" w:cs="Arial"/>
          <w:szCs w:val="22"/>
        </w:rPr>
        <w:t>t</w:t>
      </w:r>
      <w:r w:rsidR="00177ABC" w:rsidRPr="00C03C94">
        <w:rPr>
          <w:rFonts w:ascii="Arial" w:hAnsi="Arial" w:cs="Arial"/>
          <w:szCs w:val="22"/>
        </w:rPr>
        <w:t>ax</w:t>
      </w:r>
      <w:r w:rsidR="00BA6A7D">
        <w:rPr>
          <w:rFonts w:ascii="Arial" w:hAnsi="Arial" w:cs="Arial"/>
          <w:szCs w:val="22"/>
        </w:rPr>
        <w:t>’</w:t>
      </w:r>
      <w:r w:rsidR="00177ABC" w:rsidRPr="00C03C94">
        <w:rPr>
          <w:rFonts w:ascii="Arial" w:hAnsi="Arial" w:cs="Arial"/>
          <w:szCs w:val="22"/>
        </w:rPr>
        <w:t xml:space="preserve"> funding to support women’s charities, including those running programmes that tackle violence against women and girls </w:t>
      </w:r>
      <w:r w:rsidR="00A3379C" w:rsidRPr="00C03C94">
        <w:rPr>
          <w:rFonts w:ascii="Arial" w:hAnsi="Arial" w:cs="Arial"/>
          <w:i/>
          <w:szCs w:val="22"/>
        </w:rPr>
        <w:t>(</w:t>
      </w:r>
      <w:r w:rsidR="00177ABC" w:rsidRPr="00C03C94">
        <w:rPr>
          <w:rFonts w:ascii="Arial" w:hAnsi="Arial" w:cs="Arial"/>
          <w:i/>
          <w:szCs w:val="22"/>
        </w:rPr>
        <w:t>Page 45</w:t>
      </w:r>
      <w:r w:rsidR="00A3379C" w:rsidRPr="00C03C94">
        <w:rPr>
          <w:rFonts w:ascii="Arial" w:hAnsi="Arial" w:cs="Arial"/>
          <w:i/>
          <w:szCs w:val="22"/>
        </w:rPr>
        <w:t xml:space="preserve">, </w:t>
      </w:r>
      <w:r w:rsidR="00BA6A7D">
        <w:rPr>
          <w:rFonts w:ascii="Arial" w:hAnsi="Arial" w:cs="Arial"/>
          <w:i/>
          <w:szCs w:val="22"/>
        </w:rPr>
        <w:t>p</w:t>
      </w:r>
      <w:r w:rsidR="00177ABC" w:rsidRPr="00C03C94">
        <w:rPr>
          <w:rFonts w:ascii="Arial" w:hAnsi="Arial" w:cs="Arial"/>
          <w:i/>
          <w:szCs w:val="22"/>
        </w:rPr>
        <w:t>aragraph 5.15</w:t>
      </w:r>
      <w:r w:rsidR="00A3379C" w:rsidRPr="00C03C94">
        <w:rPr>
          <w:rFonts w:ascii="Arial" w:hAnsi="Arial" w:cs="Arial"/>
          <w:i/>
          <w:szCs w:val="22"/>
        </w:rPr>
        <w:t>)</w:t>
      </w:r>
      <w:r w:rsidR="00EB7712">
        <w:rPr>
          <w:rFonts w:ascii="Arial" w:hAnsi="Arial" w:cs="Arial"/>
          <w:i/>
          <w:szCs w:val="22"/>
        </w:rPr>
        <w:t>.</w:t>
      </w:r>
    </w:p>
    <w:p w14:paraId="6982FB4C" w14:textId="77777777" w:rsidR="00177ABC" w:rsidRPr="00C03C94" w:rsidRDefault="00177ABC" w:rsidP="00177ABC">
      <w:pPr>
        <w:pStyle w:val="ListParagraph"/>
        <w:rPr>
          <w:rFonts w:ascii="Arial" w:hAnsi="Arial" w:cs="Arial"/>
          <w:szCs w:val="22"/>
        </w:rPr>
      </w:pPr>
    </w:p>
    <w:p w14:paraId="60EF889F" w14:textId="67CC2640" w:rsidR="00177ABC" w:rsidRPr="00C03C94" w:rsidRDefault="002878D4" w:rsidP="002878D4">
      <w:pPr>
        <w:widowControl/>
        <w:spacing w:line="240" w:lineRule="auto"/>
        <w:rPr>
          <w:rFonts w:ascii="Arial" w:hAnsi="Arial" w:cs="Arial"/>
          <w:b/>
          <w:bCs/>
          <w:szCs w:val="22"/>
        </w:rPr>
      </w:pPr>
      <w:r w:rsidRPr="00C03C94">
        <w:rPr>
          <w:rFonts w:ascii="Arial" w:hAnsi="Arial" w:cs="Arial"/>
          <w:b/>
          <w:bCs/>
          <w:szCs w:val="22"/>
        </w:rPr>
        <w:t>LGA view</w:t>
      </w:r>
      <w:r w:rsidR="00177ABC" w:rsidRPr="00C03C94">
        <w:rPr>
          <w:rFonts w:ascii="Arial" w:hAnsi="Arial" w:cs="Arial"/>
          <w:b/>
          <w:bCs/>
          <w:szCs w:val="22"/>
        </w:rPr>
        <w:t>:</w:t>
      </w:r>
    </w:p>
    <w:p w14:paraId="605918D2" w14:textId="77777777" w:rsidR="00177ABC" w:rsidRPr="00C03C94" w:rsidRDefault="00177ABC" w:rsidP="00177ABC">
      <w:pPr>
        <w:pStyle w:val="Default"/>
        <w:rPr>
          <w:color w:val="auto"/>
          <w:sz w:val="22"/>
          <w:szCs w:val="22"/>
        </w:rPr>
      </w:pPr>
    </w:p>
    <w:p w14:paraId="551A210E" w14:textId="2D4CD0C7" w:rsidR="00177ABC" w:rsidRPr="00C03C94" w:rsidRDefault="00F250B9" w:rsidP="00AB523F">
      <w:pPr>
        <w:pStyle w:val="Default"/>
        <w:numPr>
          <w:ilvl w:val="0"/>
          <w:numId w:val="36"/>
        </w:numPr>
        <w:jc w:val="both"/>
        <w:rPr>
          <w:color w:val="auto"/>
          <w:sz w:val="22"/>
          <w:szCs w:val="22"/>
        </w:rPr>
      </w:pPr>
      <w:r w:rsidRPr="00C03C94">
        <w:rPr>
          <w:color w:val="auto"/>
          <w:sz w:val="22"/>
          <w:szCs w:val="22"/>
        </w:rPr>
        <w:t>V</w:t>
      </w:r>
      <w:r w:rsidR="00177ABC" w:rsidRPr="00C03C94">
        <w:rPr>
          <w:color w:val="auto"/>
          <w:sz w:val="22"/>
          <w:szCs w:val="22"/>
        </w:rPr>
        <w:t xml:space="preserve">iolence against women and girls </w:t>
      </w:r>
      <w:r w:rsidR="00457377" w:rsidRPr="00C03C94">
        <w:rPr>
          <w:color w:val="auto"/>
          <w:sz w:val="22"/>
          <w:szCs w:val="22"/>
        </w:rPr>
        <w:t>i</w:t>
      </w:r>
      <w:r w:rsidR="00177ABC" w:rsidRPr="00C03C94">
        <w:rPr>
          <w:color w:val="auto"/>
          <w:sz w:val="22"/>
          <w:szCs w:val="22"/>
        </w:rPr>
        <w:t>s a serious issue and</w:t>
      </w:r>
      <w:r w:rsidRPr="00C03C94">
        <w:rPr>
          <w:color w:val="auto"/>
          <w:sz w:val="22"/>
          <w:szCs w:val="22"/>
        </w:rPr>
        <w:t xml:space="preserve"> councils</w:t>
      </w:r>
      <w:r w:rsidR="00177ABC" w:rsidRPr="00C03C94">
        <w:rPr>
          <w:color w:val="auto"/>
          <w:sz w:val="22"/>
          <w:szCs w:val="22"/>
        </w:rPr>
        <w:t xml:space="preserve"> work with a range of statutory and voluntary sector partners to support victims and reduce offending. </w:t>
      </w:r>
    </w:p>
    <w:p w14:paraId="6672FE16" w14:textId="77777777" w:rsidR="00177ABC" w:rsidRPr="00C03C94" w:rsidRDefault="00177ABC" w:rsidP="00AB523F">
      <w:pPr>
        <w:pStyle w:val="Default"/>
        <w:jc w:val="both"/>
        <w:rPr>
          <w:color w:val="auto"/>
          <w:sz w:val="22"/>
          <w:szCs w:val="22"/>
        </w:rPr>
      </w:pPr>
    </w:p>
    <w:p w14:paraId="648A7053" w14:textId="18E48E61" w:rsidR="00177ABC" w:rsidRPr="00C03C94" w:rsidRDefault="005D2F12" w:rsidP="00AB523F">
      <w:pPr>
        <w:pStyle w:val="Default"/>
        <w:numPr>
          <w:ilvl w:val="0"/>
          <w:numId w:val="35"/>
        </w:numPr>
        <w:jc w:val="both"/>
        <w:rPr>
          <w:color w:val="auto"/>
          <w:sz w:val="22"/>
          <w:szCs w:val="22"/>
        </w:rPr>
      </w:pPr>
      <w:r>
        <w:rPr>
          <w:color w:val="auto"/>
          <w:sz w:val="22"/>
          <w:szCs w:val="22"/>
        </w:rPr>
        <w:t xml:space="preserve">The </w:t>
      </w:r>
      <w:r w:rsidR="00177ABC" w:rsidRPr="00C03C94">
        <w:rPr>
          <w:color w:val="auto"/>
          <w:sz w:val="22"/>
          <w:szCs w:val="22"/>
        </w:rPr>
        <w:t xml:space="preserve">Government should allow local authorities to apply for the next round of </w:t>
      </w:r>
      <w:r w:rsidR="00BA6A7D">
        <w:rPr>
          <w:color w:val="auto"/>
          <w:sz w:val="22"/>
          <w:szCs w:val="22"/>
        </w:rPr>
        <w:t>‘t</w:t>
      </w:r>
      <w:r w:rsidR="00177ABC" w:rsidRPr="00C03C94">
        <w:rPr>
          <w:color w:val="auto"/>
          <w:sz w:val="22"/>
          <w:szCs w:val="22"/>
        </w:rPr>
        <w:t xml:space="preserve">ampon </w:t>
      </w:r>
      <w:r w:rsidR="00BA6A7D">
        <w:rPr>
          <w:color w:val="auto"/>
          <w:sz w:val="22"/>
          <w:szCs w:val="22"/>
        </w:rPr>
        <w:t>t</w:t>
      </w:r>
      <w:r w:rsidR="00177ABC" w:rsidRPr="00C03C94">
        <w:rPr>
          <w:color w:val="auto"/>
          <w:sz w:val="22"/>
          <w:szCs w:val="22"/>
        </w:rPr>
        <w:t>ax</w:t>
      </w:r>
      <w:r w:rsidR="00BA6A7D">
        <w:rPr>
          <w:color w:val="auto"/>
          <w:sz w:val="22"/>
          <w:szCs w:val="22"/>
        </w:rPr>
        <w:t>’</w:t>
      </w:r>
      <w:r w:rsidR="00177ABC" w:rsidRPr="00C03C94">
        <w:rPr>
          <w:color w:val="auto"/>
          <w:sz w:val="22"/>
          <w:szCs w:val="22"/>
        </w:rPr>
        <w:t xml:space="preserve"> funding alongside women’s charities. This will help to support councils and the police in bringing together a range of partners, especially health, to invest in and share the savings resulting from commissioning a whole systems approach that includes prevention and early intervention to reduce incidents of domestic abuse, in particular by repeat offenders. </w:t>
      </w:r>
    </w:p>
    <w:p w14:paraId="6C9E0A16" w14:textId="323A74C3" w:rsidR="00C04F7B" w:rsidRPr="00C03C94" w:rsidRDefault="00C04F7B" w:rsidP="00177ABC">
      <w:pPr>
        <w:pStyle w:val="Default"/>
        <w:rPr>
          <w:color w:val="auto"/>
          <w:sz w:val="22"/>
          <w:szCs w:val="22"/>
        </w:rPr>
      </w:pPr>
    </w:p>
    <w:p w14:paraId="0F42E7C4" w14:textId="48C2201A" w:rsidR="00177ABC" w:rsidRPr="00C03C94" w:rsidRDefault="00D52739" w:rsidP="5BBF89A0">
      <w:pPr>
        <w:spacing w:line="240" w:lineRule="auto"/>
        <w:jc w:val="both"/>
        <w:rPr>
          <w:rFonts w:ascii="Arial" w:eastAsia="Arial" w:hAnsi="Arial" w:cs="Arial"/>
          <w:b/>
          <w:u w:val="single"/>
        </w:rPr>
      </w:pPr>
      <w:r w:rsidRPr="00C03C94">
        <w:rPr>
          <w:rFonts w:ascii="Arial" w:eastAsia="Arial" w:hAnsi="Arial" w:cs="Arial"/>
          <w:b/>
          <w:u w:val="single"/>
        </w:rPr>
        <w:t>Pension scams</w:t>
      </w:r>
    </w:p>
    <w:p w14:paraId="574C197F" w14:textId="77777777" w:rsidR="00D52739" w:rsidRPr="00C03C94" w:rsidRDefault="00D52739" w:rsidP="5BBF89A0">
      <w:pPr>
        <w:spacing w:line="240" w:lineRule="auto"/>
        <w:jc w:val="both"/>
        <w:rPr>
          <w:rFonts w:ascii="Arial" w:eastAsia="Arial" w:hAnsi="Arial" w:cs="Arial"/>
        </w:rPr>
      </w:pPr>
    </w:p>
    <w:p w14:paraId="01778F8D" w14:textId="77777777" w:rsidR="00D52739" w:rsidRPr="00C03C94" w:rsidRDefault="00D52739" w:rsidP="00D52739">
      <w:pPr>
        <w:pStyle w:val="Default"/>
        <w:rPr>
          <w:b/>
          <w:bCs/>
          <w:color w:val="auto"/>
          <w:sz w:val="22"/>
          <w:szCs w:val="22"/>
        </w:rPr>
      </w:pPr>
      <w:r w:rsidRPr="00C03C94">
        <w:rPr>
          <w:b/>
          <w:bCs/>
          <w:color w:val="auto"/>
          <w:sz w:val="22"/>
          <w:szCs w:val="22"/>
        </w:rPr>
        <w:t>The Chancellor has announced:</w:t>
      </w:r>
    </w:p>
    <w:p w14:paraId="47516AA1" w14:textId="77777777" w:rsidR="00D52739" w:rsidRPr="00C03C94" w:rsidRDefault="00D52739" w:rsidP="5BBF89A0">
      <w:pPr>
        <w:spacing w:line="240" w:lineRule="auto"/>
        <w:jc w:val="both"/>
        <w:rPr>
          <w:rFonts w:ascii="Arial" w:eastAsia="Arial" w:hAnsi="Arial" w:cs="Arial"/>
        </w:rPr>
      </w:pPr>
    </w:p>
    <w:p w14:paraId="65A84CBB" w14:textId="1336D5A4" w:rsidR="00D52739" w:rsidRPr="00C03C94" w:rsidRDefault="005D2F12" w:rsidP="00AB523F">
      <w:pPr>
        <w:pStyle w:val="ListParagraph"/>
        <w:numPr>
          <w:ilvl w:val="0"/>
          <w:numId w:val="30"/>
        </w:numPr>
        <w:spacing w:line="240" w:lineRule="auto"/>
        <w:jc w:val="both"/>
        <w:rPr>
          <w:rFonts w:ascii="Arial" w:hAnsi="Arial" w:cs="Arial"/>
          <w:szCs w:val="22"/>
        </w:rPr>
      </w:pPr>
      <w:r>
        <w:rPr>
          <w:rFonts w:ascii="Arial" w:hAnsi="Arial" w:cs="Arial"/>
          <w:szCs w:val="22"/>
        </w:rPr>
        <w:t xml:space="preserve">The </w:t>
      </w:r>
      <w:r w:rsidR="00D52739" w:rsidRPr="00C03C94">
        <w:rPr>
          <w:rFonts w:ascii="Arial" w:hAnsi="Arial" w:cs="Arial"/>
          <w:szCs w:val="22"/>
        </w:rPr>
        <w:t>Government will shortly publish a consultation on options to tackle pension scams, including banning cold calling in relation to pensions, giving firms greater powers to block suspicious transfers and making it harder for scammers to abuse ‘small self-administered schemes’</w:t>
      </w:r>
      <w:r w:rsidR="00A3379C" w:rsidRPr="00C03C94">
        <w:rPr>
          <w:rFonts w:ascii="Arial" w:hAnsi="Arial" w:cs="Arial"/>
          <w:szCs w:val="22"/>
        </w:rPr>
        <w:t xml:space="preserve"> </w:t>
      </w:r>
      <w:r w:rsidR="00A3379C" w:rsidRPr="00C03C94">
        <w:rPr>
          <w:rFonts w:ascii="Arial" w:hAnsi="Arial" w:cs="Arial"/>
          <w:i/>
          <w:szCs w:val="22"/>
        </w:rPr>
        <w:t>(</w:t>
      </w:r>
      <w:r w:rsidR="00D52739" w:rsidRPr="00C03C94">
        <w:rPr>
          <w:rFonts w:ascii="Arial" w:hAnsi="Arial" w:cs="Arial"/>
          <w:i/>
          <w:szCs w:val="22"/>
        </w:rPr>
        <w:t>Page 31</w:t>
      </w:r>
      <w:r w:rsidR="00A3379C" w:rsidRPr="00C03C94">
        <w:rPr>
          <w:rFonts w:ascii="Arial" w:hAnsi="Arial" w:cs="Arial"/>
          <w:i/>
          <w:szCs w:val="22"/>
        </w:rPr>
        <w:t xml:space="preserve">, </w:t>
      </w:r>
      <w:r w:rsidR="00206952">
        <w:rPr>
          <w:rFonts w:ascii="Arial" w:hAnsi="Arial" w:cs="Arial"/>
          <w:i/>
          <w:szCs w:val="22"/>
        </w:rPr>
        <w:t>p</w:t>
      </w:r>
      <w:r w:rsidR="00D52739" w:rsidRPr="00C03C94">
        <w:rPr>
          <w:rFonts w:ascii="Arial" w:hAnsi="Arial" w:cs="Arial"/>
          <w:i/>
          <w:szCs w:val="22"/>
        </w:rPr>
        <w:t>aragraph 3.42</w:t>
      </w:r>
      <w:r w:rsidR="00A3379C" w:rsidRPr="00C03C94">
        <w:rPr>
          <w:rFonts w:ascii="Arial" w:hAnsi="Arial" w:cs="Arial"/>
          <w:i/>
          <w:szCs w:val="22"/>
        </w:rPr>
        <w:t>)</w:t>
      </w:r>
      <w:r w:rsidR="00EB7712">
        <w:rPr>
          <w:rFonts w:ascii="Arial" w:hAnsi="Arial" w:cs="Arial"/>
          <w:i/>
          <w:szCs w:val="22"/>
        </w:rPr>
        <w:t>.</w:t>
      </w:r>
    </w:p>
    <w:p w14:paraId="010466E9" w14:textId="77777777" w:rsidR="00D52739" w:rsidRPr="00C03C94" w:rsidRDefault="00D52739" w:rsidP="5BBF89A0">
      <w:pPr>
        <w:spacing w:line="240" w:lineRule="auto"/>
        <w:jc w:val="both"/>
        <w:rPr>
          <w:rFonts w:ascii="Arial" w:hAnsi="Arial" w:cs="Arial"/>
          <w:szCs w:val="22"/>
        </w:rPr>
      </w:pPr>
    </w:p>
    <w:p w14:paraId="0281785F" w14:textId="1DE44FA7" w:rsidR="00D52739" w:rsidRPr="00C03C94" w:rsidRDefault="00D52739" w:rsidP="5BBF89A0">
      <w:pPr>
        <w:spacing w:line="240" w:lineRule="auto"/>
        <w:jc w:val="both"/>
        <w:rPr>
          <w:rFonts w:ascii="Arial" w:hAnsi="Arial" w:cs="Arial"/>
          <w:b/>
          <w:szCs w:val="22"/>
        </w:rPr>
      </w:pPr>
      <w:r w:rsidRPr="00C03C94">
        <w:rPr>
          <w:rFonts w:ascii="Arial" w:hAnsi="Arial" w:cs="Arial"/>
          <w:b/>
          <w:szCs w:val="22"/>
        </w:rPr>
        <w:t>LGA view:</w:t>
      </w:r>
    </w:p>
    <w:p w14:paraId="00769DCF" w14:textId="77777777" w:rsidR="00D52739" w:rsidRPr="00C03C94" w:rsidRDefault="00D52739" w:rsidP="5BBF89A0">
      <w:pPr>
        <w:spacing w:line="240" w:lineRule="auto"/>
        <w:jc w:val="both"/>
        <w:rPr>
          <w:rFonts w:ascii="Arial" w:hAnsi="Arial" w:cs="Arial"/>
          <w:b/>
          <w:szCs w:val="22"/>
        </w:rPr>
      </w:pPr>
    </w:p>
    <w:p w14:paraId="2B77C4E5" w14:textId="77777777" w:rsidR="00D52739" w:rsidRPr="00C03C94" w:rsidRDefault="00D52739" w:rsidP="00AB523F">
      <w:pPr>
        <w:pStyle w:val="ListParagraph"/>
        <w:numPr>
          <w:ilvl w:val="0"/>
          <w:numId w:val="29"/>
        </w:numPr>
        <w:jc w:val="both"/>
        <w:rPr>
          <w:rFonts w:ascii="Arial" w:hAnsi="Arial" w:cs="Arial"/>
          <w:szCs w:val="22"/>
        </w:rPr>
      </w:pPr>
      <w:r w:rsidRPr="00C03C94">
        <w:rPr>
          <w:rFonts w:ascii="Arial" w:hAnsi="Arial" w:cs="Arial"/>
          <w:szCs w:val="22"/>
        </w:rPr>
        <w:t xml:space="preserve">Councils and the National Trading Standards Scams Team are at the forefront of protecting consumers from scams and attempts to defraud them, and there be implications for local authorities in the options identified in the consultation to reduce pensions scams. The LGA will consider the consultation once published and respond as necessary to the proposals outlined in it. </w:t>
      </w:r>
    </w:p>
    <w:p w14:paraId="40E5AEE5" w14:textId="77777777" w:rsidR="00D52739" w:rsidRPr="00C03C94" w:rsidRDefault="00D52739" w:rsidP="00D52739">
      <w:pPr>
        <w:rPr>
          <w:rFonts w:ascii="Arial" w:hAnsi="Arial"/>
        </w:rPr>
      </w:pPr>
    </w:p>
    <w:p w14:paraId="210CAFE4" w14:textId="212D395B" w:rsidR="00D52739" w:rsidRPr="00C03C94" w:rsidRDefault="00457377" w:rsidP="5BBF89A0">
      <w:pPr>
        <w:spacing w:line="240" w:lineRule="auto"/>
        <w:jc w:val="both"/>
        <w:rPr>
          <w:rFonts w:ascii="Arial" w:eastAsia="Arial" w:hAnsi="Arial" w:cs="Arial"/>
          <w:b/>
          <w:u w:val="single"/>
        </w:rPr>
      </w:pPr>
      <w:r w:rsidRPr="00C03C94">
        <w:rPr>
          <w:rFonts w:ascii="Arial" w:eastAsia="Arial" w:hAnsi="Arial" w:cs="Arial"/>
          <w:b/>
          <w:u w:val="single"/>
        </w:rPr>
        <w:t>‘</w:t>
      </w:r>
      <w:r w:rsidR="00E104F6" w:rsidRPr="00C03C94">
        <w:rPr>
          <w:rFonts w:ascii="Arial" w:eastAsia="Arial" w:hAnsi="Arial" w:cs="Arial"/>
          <w:b/>
          <w:u w:val="single"/>
        </w:rPr>
        <w:t>L</w:t>
      </w:r>
      <w:r w:rsidR="00D52739" w:rsidRPr="00C03C94">
        <w:rPr>
          <w:rFonts w:ascii="Arial" w:eastAsia="Arial" w:hAnsi="Arial" w:cs="Arial"/>
          <w:b/>
          <w:u w:val="single"/>
        </w:rPr>
        <w:t>oan sharks</w:t>
      </w:r>
      <w:r w:rsidRPr="00C03C94">
        <w:rPr>
          <w:rFonts w:ascii="Arial" w:eastAsia="Arial" w:hAnsi="Arial" w:cs="Arial"/>
          <w:b/>
          <w:u w:val="single"/>
        </w:rPr>
        <w:t>’</w:t>
      </w:r>
    </w:p>
    <w:p w14:paraId="58A5E175" w14:textId="77777777" w:rsidR="00D52739" w:rsidRPr="00C03C94" w:rsidRDefault="00D52739" w:rsidP="5BBF89A0">
      <w:pPr>
        <w:spacing w:line="240" w:lineRule="auto"/>
        <w:jc w:val="both"/>
        <w:rPr>
          <w:rFonts w:ascii="Arial" w:eastAsia="Arial" w:hAnsi="Arial" w:cs="Arial"/>
          <w:b/>
          <w:u w:val="single"/>
        </w:rPr>
      </w:pPr>
    </w:p>
    <w:p w14:paraId="1E40ABF7" w14:textId="4819E66B" w:rsidR="00D52739" w:rsidRPr="00C03C94" w:rsidRDefault="00D52739" w:rsidP="5BBF89A0">
      <w:pPr>
        <w:spacing w:line="240" w:lineRule="auto"/>
        <w:jc w:val="both"/>
        <w:rPr>
          <w:rFonts w:ascii="Arial" w:eastAsia="Arial" w:hAnsi="Arial" w:cs="Arial"/>
          <w:b/>
        </w:rPr>
      </w:pPr>
      <w:r w:rsidRPr="00C03C94">
        <w:rPr>
          <w:rFonts w:ascii="Arial" w:eastAsia="Arial" w:hAnsi="Arial" w:cs="Arial"/>
          <w:b/>
        </w:rPr>
        <w:t>The Chancellor has announced:</w:t>
      </w:r>
    </w:p>
    <w:p w14:paraId="0BB20942" w14:textId="77777777" w:rsidR="00D52739" w:rsidRPr="00C03C94" w:rsidRDefault="00D52739" w:rsidP="5BBF89A0">
      <w:pPr>
        <w:spacing w:line="240" w:lineRule="auto"/>
        <w:jc w:val="both"/>
        <w:rPr>
          <w:rFonts w:ascii="Arial" w:eastAsia="Arial" w:hAnsi="Arial" w:cs="Arial"/>
          <w:b/>
        </w:rPr>
      </w:pPr>
    </w:p>
    <w:p w14:paraId="2383A432" w14:textId="6DF524F0" w:rsidR="00D52739" w:rsidRPr="00C03C94" w:rsidRDefault="00D52739" w:rsidP="008773F0">
      <w:pPr>
        <w:pStyle w:val="ListParagraph"/>
        <w:numPr>
          <w:ilvl w:val="0"/>
          <w:numId w:val="28"/>
        </w:numPr>
        <w:spacing w:line="240" w:lineRule="auto"/>
        <w:jc w:val="both"/>
        <w:rPr>
          <w:rFonts w:ascii="Arial" w:hAnsi="Arial" w:cs="Arial"/>
          <w:i/>
          <w:szCs w:val="22"/>
        </w:rPr>
      </w:pPr>
      <w:r w:rsidRPr="00C03C94">
        <w:rPr>
          <w:rFonts w:ascii="Arial" w:hAnsi="Arial" w:cs="Arial"/>
          <w:szCs w:val="22"/>
        </w:rPr>
        <w:t xml:space="preserve">That from 2018 it will expand an existing scheme which incentivises credit union membership in communities at risk of being targeted by loan sharks. This will use funds recovered under the Proceeds of Crime Act from convicted loan sharks </w:t>
      </w:r>
      <w:r w:rsidR="00A3379C" w:rsidRPr="00C03C94">
        <w:rPr>
          <w:rFonts w:ascii="Arial" w:hAnsi="Arial" w:cs="Arial"/>
          <w:i/>
          <w:szCs w:val="22"/>
        </w:rPr>
        <w:t>(</w:t>
      </w:r>
      <w:r w:rsidRPr="00C03C94">
        <w:rPr>
          <w:rFonts w:ascii="Arial" w:hAnsi="Arial" w:cs="Arial"/>
          <w:i/>
          <w:szCs w:val="22"/>
        </w:rPr>
        <w:t>Page 32</w:t>
      </w:r>
      <w:r w:rsidR="00A3379C" w:rsidRPr="00C03C94">
        <w:rPr>
          <w:rFonts w:ascii="Arial" w:hAnsi="Arial" w:cs="Arial"/>
          <w:i/>
          <w:szCs w:val="22"/>
        </w:rPr>
        <w:t xml:space="preserve">, </w:t>
      </w:r>
      <w:r w:rsidR="00206952">
        <w:rPr>
          <w:rFonts w:ascii="Arial" w:hAnsi="Arial" w:cs="Arial"/>
          <w:i/>
          <w:szCs w:val="22"/>
        </w:rPr>
        <w:t>p</w:t>
      </w:r>
      <w:r w:rsidRPr="00C03C94">
        <w:rPr>
          <w:rFonts w:ascii="Arial" w:hAnsi="Arial" w:cs="Arial"/>
          <w:i/>
          <w:szCs w:val="22"/>
        </w:rPr>
        <w:t>aragraph 3.45</w:t>
      </w:r>
      <w:r w:rsidR="00A3379C" w:rsidRPr="00C03C94">
        <w:rPr>
          <w:rFonts w:ascii="Arial" w:hAnsi="Arial" w:cs="Arial"/>
          <w:i/>
          <w:szCs w:val="22"/>
        </w:rPr>
        <w:t>)</w:t>
      </w:r>
      <w:r w:rsidR="00EB7712">
        <w:rPr>
          <w:rFonts w:ascii="Arial" w:hAnsi="Arial" w:cs="Arial"/>
          <w:i/>
          <w:szCs w:val="22"/>
        </w:rPr>
        <w:t>.</w:t>
      </w:r>
    </w:p>
    <w:p w14:paraId="0B3DC615" w14:textId="77777777" w:rsidR="00D52739" w:rsidRPr="00C03C94" w:rsidRDefault="00D52739" w:rsidP="5BBF89A0">
      <w:pPr>
        <w:spacing w:line="240" w:lineRule="auto"/>
        <w:jc w:val="both"/>
        <w:rPr>
          <w:rFonts w:ascii="Arial" w:hAnsi="Arial" w:cs="Arial"/>
          <w:szCs w:val="22"/>
        </w:rPr>
      </w:pPr>
    </w:p>
    <w:p w14:paraId="1C592919" w14:textId="5AD06A72" w:rsidR="00D52739" w:rsidRPr="00C03C94" w:rsidRDefault="00D52739" w:rsidP="5BBF89A0">
      <w:pPr>
        <w:spacing w:line="240" w:lineRule="auto"/>
        <w:jc w:val="both"/>
        <w:rPr>
          <w:rFonts w:ascii="Arial" w:hAnsi="Arial" w:cs="Arial"/>
          <w:b/>
          <w:szCs w:val="22"/>
        </w:rPr>
      </w:pPr>
      <w:r w:rsidRPr="00C03C94">
        <w:rPr>
          <w:rFonts w:ascii="Arial" w:hAnsi="Arial" w:cs="Arial"/>
          <w:b/>
          <w:szCs w:val="22"/>
        </w:rPr>
        <w:t>LGA view:</w:t>
      </w:r>
    </w:p>
    <w:p w14:paraId="2E54F716" w14:textId="77777777" w:rsidR="00D52739" w:rsidRPr="00C03C94" w:rsidRDefault="00D52739" w:rsidP="5BBF89A0">
      <w:pPr>
        <w:spacing w:line="240" w:lineRule="auto"/>
        <w:jc w:val="both"/>
        <w:rPr>
          <w:rFonts w:ascii="Arial" w:hAnsi="Arial" w:cs="Arial"/>
          <w:b/>
          <w:szCs w:val="22"/>
        </w:rPr>
      </w:pPr>
    </w:p>
    <w:p w14:paraId="75B89426" w14:textId="52399B60" w:rsidR="00D52739" w:rsidRPr="00C03C94" w:rsidRDefault="00457377" w:rsidP="008773F0">
      <w:pPr>
        <w:pStyle w:val="ListParagraph"/>
        <w:numPr>
          <w:ilvl w:val="0"/>
          <w:numId w:val="27"/>
        </w:numPr>
        <w:spacing w:line="240" w:lineRule="auto"/>
        <w:jc w:val="both"/>
        <w:rPr>
          <w:rFonts w:ascii="Arial" w:eastAsia="Arial" w:hAnsi="Arial" w:cs="Arial"/>
          <w:szCs w:val="22"/>
        </w:rPr>
      </w:pPr>
      <w:r w:rsidRPr="00C03C94">
        <w:rPr>
          <w:rFonts w:ascii="Arial" w:hAnsi="Arial" w:cs="Arial"/>
          <w:szCs w:val="22"/>
        </w:rPr>
        <w:t>‘</w:t>
      </w:r>
      <w:r w:rsidR="00D52739" w:rsidRPr="00C03C94">
        <w:rPr>
          <w:rFonts w:ascii="Arial" w:hAnsi="Arial" w:cs="Arial"/>
          <w:szCs w:val="22"/>
        </w:rPr>
        <w:t>Loan sharks</w:t>
      </w:r>
      <w:r w:rsidRPr="00C03C94">
        <w:rPr>
          <w:rFonts w:ascii="Arial" w:hAnsi="Arial" w:cs="Arial"/>
          <w:szCs w:val="22"/>
        </w:rPr>
        <w:t>’</w:t>
      </w:r>
      <w:r w:rsidR="00D52739" w:rsidRPr="00C03C94">
        <w:rPr>
          <w:rFonts w:ascii="Arial" w:hAnsi="Arial" w:cs="Arial"/>
          <w:szCs w:val="22"/>
        </w:rPr>
        <w:t xml:space="preserve"> prey on some of the most vulnerable individuals and communities, causing misery and often resorting to threats, verbal abuse and violence to get money from their victims. Councils and National Trading Standards’ illegal money lending teams lead the work to tackle </w:t>
      </w:r>
      <w:r w:rsidR="001B4352" w:rsidRPr="00C03C94">
        <w:rPr>
          <w:rFonts w:ascii="Arial" w:hAnsi="Arial" w:cs="Arial"/>
          <w:szCs w:val="22"/>
        </w:rPr>
        <w:t>loan</w:t>
      </w:r>
      <w:r w:rsidR="00D52739" w:rsidRPr="00C03C94">
        <w:rPr>
          <w:rFonts w:ascii="Arial" w:hAnsi="Arial" w:cs="Arial"/>
          <w:szCs w:val="22"/>
        </w:rPr>
        <w:t xml:space="preserve"> sharks, and measures that reduce the need for people to resort to illegal money lenders will assist in this work.</w:t>
      </w:r>
    </w:p>
    <w:p w14:paraId="351D72DD" w14:textId="3E2845D7" w:rsidR="006342BB" w:rsidRPr="00C03C94" w:rsidRDefault="006342BB" w:rsidP="5BBF89A0">
      <w:pPr>
        <w:spacing w:line="240" w:lineRule="auto"/>
        <w:jc w:val="both"/>
        <w:rPr>
          <w:rFonts w:ascii="Arial" w:eastAsia="Arial" w:hAnsi="Arial" w:cs="Arial"/>
          <w:b/>
          <w:u w:val="single"/>
        </w:rPr>
      </w:pPr>
    </w:p>
    <w:p w14:paraId="2B8DCFF4" w14:textId="5ECF60F4" w:rsidR="00AE7D89" w:rsidRPr="00C03C94" w:rsidRDefault="00AE7D89" w:rsidP="0083430C">
      <w:pPr>
        <w:rPr>
          <w:rFonts w:ascii="Arial" w:hAnsi="Arial" w:cs="Arial"/>
          <w:b/>
          <w:szCs w:val="22"/>
          <w:u w:val="single"/>
        </w:rPr>
      </w:pPr>
      <w:r w:rsidRPr="00C03C94">
        <w:rPr>
          <w:rFonts w:ascii="Arial" w:hAnsi="Arial" w:cs="Arial"/>
          <w:b/>
          <w:szCs w:val="22"/>
          <w:u w:val="single"/>
        </w:rPr>
        <w:t>Prison safety and wider reforms to the justice system</w:t>
      </w:r>
    </w:p>
    <w:p w14:paraId="246BA7D5" w14:textId="77777777" w:rsidR="00A3379C" w:rsidRPr="00C03C94" w:rsidRDefault="00A3379C" w:rsidP="0083430C">
      <w:pPr>
        <w:rPr>
          <w:rFonts w:ascii="Arial" w:hAnsi="Arial" w:cs="Arial"/>
          <w:b/>
          <w:szCs w:val="22"/>
        </w:rPr>
      </w:pPr>
    </w:p>
    <w:p w14:paraId="2A0D6459" w14:textId="06131C89" w:rsidR="00AE7D89" w:rsidRPr="00C03C94" w:rsidRDefault="00AE7D89" w:rsidP="0083430C">
      <w:pPr>
        <w:rPr>
          <w:rFonts w:ascii="Arial" w:eastAsia="Arial" w:hAnsi="Arial" w:cs="Arial"/>
          <w:b/>
          <w:szCs w:val="22"/>
        </w:rPr>
      </w:pPr>
      <w:r w:rsidRPr="00C03C94">
        <w:rPr>
          <w:rFonts w:ascii="Arial" w:hAnsi="Arial" w:cs="Arial"/>
          <w:b/>
          <w:szCs w:val="22"/>
        </w:rPr>
        <w:t>The Chancellor</w:t>
      </w:r>
      <w:r w:rsidR="00E0674F" w:rsidRPr="00C03C94">
        <w:rPr>
          <w:rFonts w:ascii="Arial" w:eastAsia="Arial" w:hAnsi="Arial" w:cs="Arial"/>
          <w:b/>
          <w:szCs w:val="22"/>
        </w:rPr>
        <w:t xml:space="preserve"> has announced:</w:t>
      </w:r>
    </w:p>
    <w:p w14:paraId="75AEB205" w14:textId="77777777" w:rsidR="00DD0F34" w:rsidRPr="00C03C94" w:rsidRDefault="00DD0F34" w:rsidP="0083430C">
      <w:pPr>
        <w:rPr>
          <w:rFonts w:ascii="Arial" w:eastAsia="Arial" w:hAnsi="Arial" w:cs="Arial"/>
          <w:b/>
          <w:szCs w:val="22"/>
          <w:u w:val="single"/>
        </w:rPr>
      </w:pPr>
    </w:p>
    <w:p w14:paraId="4CC5B1F5" w14:textId="39AEA31C" w:rsidR="00AE7D89" w:rsidRPr="00C03C94" w:rsidRDefault="005D2F12" w:rsidP="00AB523F">
      <w:pPr>
        <w:pStyle w:val="ListParagraph"/>
        <w:numPr>
          <w:ilvl w:val="0"/>
          <w:numId w:val="23"/>
        </w:numPr>
        <w:jc w:val="both"/>
        <w:rPr>
          <w:rFonts w:ascii="Arial" w:hAnsi="Arial" w:cs="Arial"/>
          <w:szCs w:val="22"/>
        </w:rPr>
      </w:pPr>
      <w:r>
        <w:rPr>
          <w:rFonts w:ascii="Arial" w:hAnsi="Arial" w:cs="Arial"/>
          <w:szCs w:val="22"/>
        </w:rPr>
        <w:t xml:space="preserve">The </w:t>
      </w:r>
      <w:r w:rsidR="00AE7D89" w:rsidRPr="00C03C94">
        <w:rPr>
          <w:rFonts w:ascii="Arial" w:hAnsi="Arial" w:cs="Arial"/>
          <w:szCs w:val="22"/>
        </w:rPr>
        <w:t>Government will provide up to £500 million of additional funding across the period to the Ministry of Justice as part of the</w:t>
      </w:r>
      <w:r w:rsidR="00DD0F34" w:rsidRPr="00C03C94">
        <w:rPr>
          <w:rFonts w:ascii="Arial" w:hAnsi="Arial" w:cs="Arial"/>
          <w:szCs w:val="22"/>
        </w:rPr>
        <w:t xml:space="preserve"> </w:t>
      </w:r>
      <w:r w:rsidR="00F90CFF" w:rsidRPr="00C03C94">
        <w:rPr>
          <w:rFonts w:ascii="Arial" w:hAnsi="Arial" w:cs="Arial"/>
          <w:szCs w:val="22"/>
        </w:rPr>
        <w:t xml:space="preserve">national </w:t>
      </w:r>
      <w:r w:rsidR="00DD0F34" w:rsidRPr="00C03C94">
        <w:rPr>
          <w:rFonts w:ascii="Arial" w:hAnsi="Arial" w:cs="Arial"/>
          <w:szCs w:val="22"/>
        </w:rPr>
        <w:t>prison s</w:t>
      </w:r>
      <w:r w:rsidR="00AE7D89" w:rsidRPr="00C03C94">
        <w:rPr>
          <w:rFonts w:ascii="Arial" w:hAnsi="Arial" w:cs="Arial"/>
          <w:szCs w:val="22"/>
        </w:rPr>
        <w:t xml:space="preserve">afety and Reform white paper, which will fund the recruitment of extra prison officers, and also fund wider reforms to the justice system </w:t>
      </w:r>
      <w:r w:rsidR="00A3379C" w:rsidRPr="00C03C94">
        <w:rPr>
          <w:rFonts w:ascii="Arial" w:hAnsi="Arial" w:cs="Arial"/>
          <w:i/>
          <w:szCs w:val="22"/>
        </w:rPr>
        <w:t>(</w:t>
      </w:r>
      <w:r w:rsidR="00AE7D89" w:rsidRPr="00C03C94">
        <w:rPr>
          <w:rFonts w:ascii="Arial" w:hAnsi="Arial" w:cs="Arial"/>
          <w:i/>
          <w:szCs w:val="22"/>
        </w:rPr>
        <w:t>Page 45</w:t>
      </w:r>
      <w:r w:rsidR="00A3379C" w:rsidRPr="00C03C94">
        <w:rPr>
          <w:rFonts w:ascii="Arial" w:hAnsi="Arial" w:cs="Arial"/>
          <w:i/>
          <w:szCs w:val="22"/>
        </w:rPr>
        <w:t xml:space="preserve">, </w:t>
      </w:r>
      <w:r w:rsidR="00206952">
        <w:rPr>
          <w:rFonts w:ascii="Arial" w:hAnsi="Arial" w:cs="Arial"/>
          <w:i/>
          <w:szCs w:val="22"/>
        </w:rPr>
        <w:t>p</w:t>
      </w:r>
      <w:r w:rsidR="00AE7D89" w:rsidRPr="00C03C94">
        <w:rPr>
          <w:rFonts w:ascii="Arial" w:hAnsi="Arial" w:cs="Arial"/>
          <w:i/>
          <w:szCs w:val="22"/>
        </w:rPr>
        <w:t>aragraph 5.17</w:t>
      </w:r>
      <w:r w:rsidR="00A3379C" w:rsidRPr="00C03C94">
        <w:rPr>
          <w:rFonts w:ascii="Arial" w:hAnsi="Arial" w:cs="Arial"/>
          <w:i/>
          <w:szCs w:val="22"/>
        </w:rPr>
        <w:t>)</w:t>
      </w:r>
      <w:r w:rsidR="00EB7712">
        <w:rPr>
          <w:rFonts w:ascii="Arial" w:hAnsi="Arial" w:cs="Arial"/>
          <w:i/>
          <w:szCs w:val="22"/>
        </w:rPr>
        <w:t>.</w:t>
      </w:r>
    </w:p>
    <w:p w14:paraId="2E4FBB66" w14:textId="77777777" w:rsidR="00AE7D89" w:rsidRPr="00C03C94" w:rsidRDefault="00AE7D89" w:rsidP="00AE7D89">
      <w:pPr>
        <w:rPr>
          <w:rFonts w:ascii="Arial" w:hAnsi="Arial" w:cs="Arial"/>
          <w:szCs w:val="22"/>
        </w:rPr>
      </w:pPr>
    </w:p>
    <w:p w14:paraId="06BFA5FE" w14:textId="08907AC6" w:rsidR="00AE7D89" w:rsidRPr="00C03C94" w:rsidRDefault="00AE7D89" w:rsidP="0083430C">
      <w:pPr>
        <w:rPr>
          <w:rFonts w:ascii="Arial" w:hAnsi="Arial"/>
          <w:b/>
        </w:rPr>
      </w:pPr>
      <w:r w:rsidRPr="00C03C94">
        <w:rPr>
          <w:rFonts w:ascii="Arial" w:hAnsi="Arial"/>
          <w:b/>
        </w:rPr>
        <w:t>LGA view:</w:t>
      </w:r>
    </w:p>
    <w:p w14:paraId="5B67E60D" w14:textId="77777777" w:rsidR="00AE7D89" w:rsidRPr="00C03C94" w:rsidRDefault="00AE7D89" w:rsidP="0083430C">
      <w:pPr>
        <w:rPr>
          <w:rFonts w:ascii="Arial" w:hAnsi="Arial"/>
          <w:b/>
        </w:rPr>
      </w:pPr>
    </w:p>
    <w:p w14:paraId="6FC8498F" w14:textId="7E87F411" w:rsidR="00AE7D89" w:rsidRPr="00C03C94" w:rsidRDefault="00AE7D89" w:rsidP="00AB523F">
      <w:pPr>
        <w:pStyle w:val="ListParagraph"/>
        <w:numPr>
          <w:ilvl w:val="0"/>
          <w:numId w:val="22"/>
        </w:numPr>
        <w:jc w:val="both"/>
        <w:rPr>
          <w:rFonts w:ascii="Arial" w:hAnsi="Arial" w:cs="Arial"/>
          <w:b/>
          <w:szCs w:val="22"/>
          <w:u w:val="single"/>
        </w:rPr>
      </w:pPr>
      <w:r w:rsidRPr="00C03C94">
        <w:rPr>
          <w:rFonts w:ascii="Arial" w:hAnsi="Arial" w:cs="Arial"/>
          <w:szCs w:val="22"/>
        </w:rPr>
        <w:t xml:space="preserve">The LGA has long supported reform of the rehabilitation of offenders to reduce crime. Assistance to offenders in finding employment and accommodation as they leave prison, improving their education and reducing substance misuse, is vital in reducing the likelihood they will go on to reoffend. New provision for women offenders is a particular priority as many of them are held in prisons at a higher security level than they need, and few have the opportunity to spend time in an open prison prior to release. Investment in measures to support the rehabilitation of offenders will assist in reducing crime, but the plans the </w:t>
      </w:r>
      <w:r w:rsidR="00E104F6" w:rsidRPr="00C03C94">
        <w:rPr>
          <w:rFonts w:ascii="Arial" w:hAnsi="Arial" w:cs="Arial"/>
          <w:szCs w:val="22"/>
        </w:rPr>
        <w:t>G</w:t>
      </w:r>
      <w:r w:rsidRPr="00C03C94">
        <w:rPr>
          <w:rFonts w:ascii="Arial" w:hAnsi="Arial" w:cs="Arial"/>
          <w:szCs w:val="22"/>
        </w:rPr>
        <w:t xml:space="preserve">overnment </w:t>
      </w:r>
      <w:r w:rsidR="00E104F6" w:rsidRPr="00C03C94">
        <w:rPr>
          <w:rFonts w:ascii="Arial" w:hAnsi="Arial" w:cs="Arial"/>
          <w:szCs w:val="22"/>
        </w:rPr>
        <w:t>indicated it would be publishing to further reform the criminal justice system earlier in the year</w:t>
      </w:r>
      <w:r w:rsidRPr="00C03C94">
        <w:rPr>
          <w:rFonts w:ascii="Arial" w:hAnsi="Arial" w:cs="Arial"/>
          <w:szCs w:val="22"/>
        </w:rPr>
        <w:t xml:space="preserve"> </w:t>
      </w:r>
      <w:r w:rsidR="00E104F6" w:rsidRPr="00C03C94">
        <w:rPr>
          <w:rFonts w:ascii="Arial" w:hAnsi="Arial" w:cs="Arial"/>
          <w:szCs w:val="22"/>
        </w:rPr>
        <w:t>to give</w:t>
      </w:r>
      <w:r w:rsidRPr="00C03C94">
        <w:rPr>
          <w:rFonts w:ascii="Arial" w:hAnsi="Arial" w:cs="Arial"/>
          <w:szCs w:val="22"/>
        </w:rPr>
        <w:t xml:space="preserve"> police and crime commissioners a greater role have still not been announced. </w:t>
      </w:r>
    </w:p>
    <w:p w14:paraId="04F9623E" w14:textId="4BAFE808" w:rsidR="007D3FCB" w:rsidRPr="00C03C94" w:rsidRDefault="007D3FCB" w:rsidP="007D3FCB">
      <w:pPr>
        <w:rPr>
          <w:rFonts w:ascii="Arial" w:hAnsi="Arial" w:cs="Arial"/>
          <w:szCs w:val="22"/>
        </w:rPr>
      </w:pPr>
    </w:p>
    <w:p w14:paraId="27149415" w14:textId="396DBD3C" w:rsidR="00DD0F34" w:rsidRPr="00C03C94" w:rsidRDefault="00BA6A7D" w:rsidP="00082CC1">
      <w:pPr>
        <w:rPr>
          <w:rFonts w:ascii="Arial" w:hAnsi="Arial" w:cs="Arial"/>
          <w:b/>
          <w:bCs/>
          <w:szCs w:val="22"/>
          <w:u w:val="single"/>
        </w:rPr>
      </w:pPr>
      <w:r>
        <w:rPr>
          <w:rFonts w:ascii="Arial" w:hAnsi="Arial" w:cs="Arial"/>
          <w:b/>
          <w:bCs/>
          <w:szCs w:val="22"/>
          <w:u w:val="single"/>
        </w:rPr>
        <w:t>EU f</w:t>
      </w:r>
      <w:r w:rsidR="00082CC1" w:rsidRPr="00C03C94">
        <w:rPr>
          <w:rFonts w:ascii="Arial" w:hAnsi="Arial" w:cs="Arial"/>
          <w:b/>
          <w:bCs/>
          <w:szCs w:val="22"/>
          <w:u w:val="single"/>
        </w:rPr>
        <w:t>unding</w:t>
      </w:r>
    </w:p>
    <w:p w14:paraId="19E75EC8" w14:textId="77777777" w:rsidR="00DD0F34" w:rsidRPr="00C03C94" w:rsidRDefault="00DD0F34" w:rsidP="00082CC1">
      <w:pPr>
        <w:rPr>
          <w:rFonts w:ascii="Arial" w:hAnsi="Arial" w:cs="Arial"/>
          <w:b/>
          <w:bCs/>
          <w:szCs w:val="22"/>
          <w:u w:val="single"/>
        </w:rPr>
      </w:pPr>
    </w:p>
    <w:p w14:paraId="068B2776" w14:textId="5C2BD281" w:rsidR="00082CC1" w:rsidRPr="00C03C94" w:rsidRDefault="00DD0F34" w:rsidP="00082CC1">
      <w:pPr>
        <w:rPr>
          <w:rFonts w:ascii="Arial" w:hAnsi="Arial" w:cs="Arial"/>
          <w:b/>
          <w:bCs/>
          <w:szCs w:val="22"/>
          <w:u w:val="single"/>
        </w:rPr>
      </w:pPr>
      <w:r w:rsidRPr="00C03C94">
        <w:rPr>
          <w:rFonts w:ascii="Arial" w:hAnsi="Arial" w:cs="Arial"/>
          <w:b/>
          <w:bCs/>
          <w:szCs w:val="22"/>
        </w:rPr>
        <w:t>The Chancellor was silent on EU funding.</w:t>
      </w:r>
      <w:r w:rsidR="00082CC1" w:rsidRPr="00C03C94">
        <w:rPr>
          <w:rFonts w:ascii="Arial" w:hAnsi="Arial" w:cs="Arial"/>
          <w:b/>
          <w:bCs/>
          <w:szCs w:val="22"/>
          <w:u w:val="single"/>
        </w:rPr>
        <w:t xml:space="preserve"> </w:t>
      </w:r>
    </w:p>
    <w:p w14:paraId="35159F3C" w14:textId="77777777" w:rsidR="00082CC1" w:rsidRPr="00C03C94" w:rsidRDefault="00082CC1" w:rsidP="00082CC1">
      <w:pPr>
        <w:rPr>
          <w:rFonts w:ascii="Arial" w:hAnsi="Arial" w:cs="Arial"/>
          <w:szCs w:val="22"/>
        </w:rPr>
      </w:pPr>
    </w:p>
    <w:p w14:paraId="653AA018" w14:textId="76B79666" w:rsidR="005D2910" w:rsidRPr="00C03C94" w:rsidRDefault="005D2910" w:rsidP="00082CC1">
      <w:pPr>
        <w:rPr>
          <w:rFonts w:ascii="Arial" w:hAnsi="Arial" w:cs="Arial"/>
          <w:b/>
          <w:szCs w:val="22"/>
        </w:rPr>
      </w:pPr>
      <w:r w:rsidRPr="00C03C94">
        <w:rPr>
          <w:rFonts w:ascii="Arial" w:hAnsi="Arial" w:cs="Arial"/>
          <w:b/>
          <w:szCs w:val="22"/>
        </w:rPr>
        <w:t xml:space="preserve">LGA </w:t>
      </w:r>
      <w:r w:rsidR="00E521D2" w:rsidRPr="00C03C94">
        <w:rPr>
          <w:rFonts w:ascii="Arial" w:hAnsi="Arial" w:cs="Arial"/>
          <w:b/>
          <w:szCs w:val="22"/>
        </w:rPr>
        <w:t>v</w:t>
      </w:r>
      <w:r w:rsidRPr="00C03C94">
        <w:rPr>
          <w:rFonts w:ascii="Arial" w:hAnsi="Arial" w:cs="Arial"/>
          <w:b/>
          <w:szCs w:val="22"/>
        </w:rPr>
        <w:t>iew</w:t>
      </w:r>
      <w:r w:rsidR="00E521D2" w:rsidRPr="00C03C94">
        <w:rPr>
          <w:rFonts w:ascii="Arial" w:hAnsi="Arial" w:cs="Arial"/>
          <w:b/>
          <w:szCs w:val="22"/>
        </w:rPr>
        <w:t>:</w:t>
      </w:r>
    </w:p>
    <w:p w14:paraId="15366300" w14:textId="154117F8" w:rsidR="005D2910" w:rsidRPr="00C03C94" w:rsidRDefault="005D2910" w:rsidP="00082CC1">
      <w:pPr>
        <w:rPr>
          <w:rFonts w:ascii="Arial" w:hAnsi="Arial" w:cs="Arial"/>
          <w:szCs w:val="22"/>
        </w:rPr>
      </w:pPr>
    </w:p>
    <w:p w14:paraId="23758BD9" w14:textId="77777777" w:rsidR="00082CC1" w:rsidRPr="0002051F" w:rsidRDefault="00082CC1" w:rsidP="0002051F">
      <w:pPr>
        <w:pStyle w:val="ListParagraph"/>
        <w:numPr>
          <w:ilvl w:val="0"/>
          <w:numId w:val="22"/>
        </w:numPr>
        <w:jc w:val="both"/>
        <w:rPr>
          <w:rFonts w:ascii="Arial" w:hAnsi="Arial" w:cs="Arial"/>
          <w:szCs w:val="22"/>
        </w:rPr>
      </w:pPr>
      <w:r w:rsidRPr="0002051F">
        <w:rPr>
          <w:rFonts w:ascii="Arial" w:hAnsi="Arial" w:cs="Arial"/>
          <w:szCs w:val="22"/>
        </w:rPr>
        <w:t xml:space="preserve">Following the result of the referendum to leave the EU, the LGA called for a guarantee around the future of all of the £5.3 billion in EU regeneration funding promised to local areas by 2020. </w:t>
      </w:r>
    </w:p>
    <w:p w14:paraId="198AA308" w14:textId="77777777" w:rsidR="00082CC1" w:rsidRPr="00C03C94" w:rsidRDefault="00082CC1" w:rsidP="00AB523F">
      <w:pPr>
        <w:jc w:val="both"/>
        <w:rPr>
          <w:rFonts w:ascii="Arial" w:hAnsi="Arial" w:cs="Arial"/>
          <w:szCs w:val="22"/>
        </w:rPr>
      </w:pPr>
    </w:p>
    <w:p w14:paraId="05A23929" w14:textId="4B0A88EB" w:rsidR="00082CC1" w:rsidRPr="0002051F" w:rsidRDefault="00082CC1" w:rsidP="0002051F">
      <w:pPr>
        <w:pStyle w:val="ListParagraph"/>
        <w:numPr>
          <w:ilvl w:val="0"/>
          <w:numId w:val="22"/>
        </w:numPr>
        <w:jc w:val="both"/>
        <w:rPr>
          <w:rFonts w:ascii="Arial" w:hAnsi="Arial" w:cs="Arial"/>
          <w:szCs w:val="22"/>
        </w:rPr>
      </w:pPr>
      <w:r w:rsidRPr="0002051F">
        <w:rPr>
          <w:rFonts w:ascii="Arial" w:hAnsi="Arial" w:cs="Arial"/>
          <w:szCs w:val="22"/>
        </w:rPr>
        <w:t>We are pleased that</w:t>
      </w:r>
      <w:r w:rsidR="00457377" w:rsidRPr="0002051F">
        <w:rPr>
          <w:rFonts w:ascii="Arial" w:hAnsi="Arial" w:cs="Arial"/>
          <w:szCs w:val="22"/>
        </w:rPr>
        <w:t xml:space="preserve"> prior to the Autumn Statement </w:t>
      </w:r>
      <w:r w:rsidRPr="0002051F">
        <w:rPr>
          <w:rFonts w:ascii="Arial" w:hAnsi="Arial" w:cs="Arial"/>
          <w:szCs w:val="22"/>
        </w:rPr>
        <w:t>the Government has accepted our call to provide m</w:t>
      </w:r>
      <w:r w:rsidR="00BA6A7D" w:rsidRPr="0002051F">
        <w:rPr>
          <w:rFonts w:ascii="Arial" w:hAnsi="Arial" w:cs="Arial"/>
          <w:szCs w:val="22"/>
        </w:rPr>
        <w:t>uch-needed further guarantees. </w:t>
      </w:r>
      <w:r w:rsidRPr="0002051F">
        <w:rPr>
          <w:rFonts w:ascii="Arial" w:hAnsi="Arial" w:cs="Arial"/>
          <w:szCs w:val="22"/>
        </w:rPr>
        <w:t>This money will create jobs, build infrastructure and boost local growth across the country.</w:t>
      </w:r>
    </w:p>
    <w:p w14:paraId="053DA19D" w14:textId="77777777" w:rsidR="00082CC1" w:rsidRPr="00C03C94" w:rsidRDefault="00082CC1" w:rsidP="00AB523F">
      <w:pPr>
        <w:jc w:val="both"/>
        <w:rPr>
          <w:rFonts w:ascii="Arial" w:hAnsi="Arial" w:cs="Arial"/>
          <w:szCs w:val="22"/>
        </w:rPr>
      </w:pPr>
    </w:p>
    <w:p w14:paraId="3B777A57" w14:textId="6D4927DE" w:rsidR="00082CC1" w:rsidRPr="0002051F" w:rsidRDefault="005C259E" w:rsidP="0002051F">
      <w:pPr>
        <w:pStyle w:val="ListParagraph"/>
        <w:numPr>
          <w:ilvl w:val="0"/>
          <w:numId w:val="22"/>
        </w:numPr>
        <w:jc w:val="both"/>
        <w:rPr>
          <w:rFonts w:ascii="Arial" w:hAnsi="Arial" w:cs="Arial"/>
          <w:szCs w:val="22"/>
        </w:rPr>
      </w:pPr>
      <w:r w:rsidRPr="0002051F">
        <w:rPr>
          <w:rFonts w:ascii="Arial" w:hAnsi="Arial" w:cs="Arial"/>
          <w:szCs w:val="22"/>
        </w:rPr>
        <w:t>Following today’s statement we</w:t>
      </w:r>
      <w:r w:rsidR="00082CC1" w:rsidRPr="0002051F">
        <w:rPr>
          <w:rFonts w:ascii="Arial" w:hAnsi="Arial" w:cs="Arial"/>
          <w:szCs w:val="22"/>
        </w:rPr>
        <w:t xml:space="preserve"> will be seeking to clarify with </w:t>
      </w:r>
      <w:r w:rsidRPr="0002051F">
        <w:rPr>
          <w:rFonts w:ascii="Arial" w:hAnsi="Arial" w:cs="Arial"/>
          <w:szCs w:val="22"/>
        </w:rPr>
        <w:t>the G</w:t>
      </w:r>
      <w:r w:rsidR="00082CC1" w:rsidRPr="0002051F">
        <w:rPr>
          <w:rFonts w:ascii="Arial" w:hAnsi="Arial" w:cs="Arial"/>
          <w:szCs w:val="22"/>
        </w:rPr>
        <w:t xml:space="preserve">overnment what measures it will be taking to ensure the maximum numbers of funding bids are agreed and signed with minimal bureaucracy, by the time we exit the EU. </w:t>
      </w:r>
    </w:p>
    <w:p w14:paraId="286DAF92" w14:textId="77777777" w:rsidR="00082CC1" w:rsidRPr="00C03C94" w:rsidRDefault="00082CC1" w:rsidP="00AB523F">
      <w:pPr>
        <w:jc w:val="both"/>
        <w:rPr>
          <w:rFonts w:ascii="Arial" w:hAnsi="Arial" w:cs="Arial"/>
          <w:szCs w:val="22"/>
        </w:rPr>
      </w:pPr>
    </w:p>
    <w:p w14:paraId="719D2808" w14:textId="6752E51B" w:rsidR="00082CC1" w:rsidRPr="0002051F" w:rsidRDefault="00082CC1" w:rsidP="0002051F">
      <w:pPr>
        <w:pStyle w:val="ListParagraph"/>
        <w:numPr>
          <w:ilvl w:val="0"/>
          <w:numId w:val="22"/>
        </w:numPr>
        <w:jc w:val="both"/>
        <w:rPr>
          <w:rFonts w:ascii="Arial" w:hAnsi="Arial" w:cs="Arial"/>
          <w:szCs w:val="22"/>
        </w:rPr>
      </w:pPr>
      <w:r w:rsidRPr="0002051F">
        <w:rPr>
          <w:rFonts w:ascii="Arial" w:hAnsi="Arial" w:cs="Arial"/>
          <w:szCs w:val="22"/>
        </w:rPr>
        <w:t xml:space="preserve">The Government also needs to begin discussions with local government and businesses about a successor scheme of at least equal value after the UK leaves the EU which is based on local </w:t>
      </w:r>
      <w:r w:rsidR="00457377" w:rsidRPr="0002051F">
        <w:rPr>
          <w:rFonts w:ascii="Arial" w:hAnsi="Arial" w:cs="Arial"/>
          <w:szCs w:val="22"/>
        </w:rPr>
        <w:t>growth priorities</w:t>
      </w:r>
      <w:r w:rsidR="008602F7" w:rsidRPr="0002051F">
        <w:rPr>
          <w:rFonts w:ascii="Arial" w:hAnsi="Arial" w:cs="Arial"/>
          <w:szCs w:val="22"/>
        </w:rPr>
        <w:t>.</w:t>
      </w:r>
    </w:p>
    <w:p w14:paraId="07898264" w14:textId="77777777" w:rsidR="008602F7" w:rsidRPr="00C03C94" w:rsidRDefault="008602F7" w:rsidP="00AB523F">
      <w:pPr>
        <w:jc w:val="both"/>
        <w:rPr>
          <w:rFonts w:ascii="Arial" w:hAnsi="Arial" w:cs="Arial"/>
          <w:szCs w:val="22"/>
        </w:rPr>
      </w:pPr>
    </w:p>
    <w:p w14:paraId="508ABF0E" w14:textId="4C538915" w:rsidR="00DD0F34" w:rsidRPr="0002051F" w:rsidRDefault="00DD0F34" w:rsidP="0002051F">
      <w:pPr>
        <w:pStyle w:val="ListParagraph"/>
        <w:numPr>
          <w:ilvl w:val="0"/>
          <w:numId w:val="22"/>
        </w:numPr>
        <w:jc w:val="both"/>
        <w:rPr>
          <w:rFonts w:ascii="Times New Roman" w:hAnsi="Times New Roman"/>
          <w:sz w:val="24"/>
          <w:lang w:eastAsia="en-GB"/>
        </w:rPr>
      </w:pPr>
      <w:r w:rsidRPr="0002051F">
        <w:rPr>
          <w:rFonts w:ascii="Arial" w:hAnsi="Arial" w:cs="Arial"/>
        </w:rPr>
        <w:t xml:space="preserve">Treasury figures indicate a net contribution of £8.5 billion annually to the EU. Post exit, </w:t>
      </w:r>
      <w:r w:rsidR="005D2F12" w:rsidRPr="0002051F">
        <w:rPr>
          <w:rFonts w:ascii="Arial" w:hAnsi="Arial" w:cs="Arial"/>
        </w:rPr>
        <w:t xml:space="preserve">the </w:t>
      </w:r>
      <w:r w:rsidRPr="0002051F">
        <w:rPr>
          <w:rFonts w:ascii="Arial" w:hAnsi="Arial" w:cs="Arial"/>
        </w:rPr>
        <w:t xml:space="preserve">Government has choices on how any such funds are redeployed.  The next few years will be extremely challenging for councils who we estimate face an overall £5.8 billion funding gap by 2020. </w:t>
      </w:r>
      <w:r w:rsidR="005D2F12" w:rsidRPr="0002051F">
        <w:rPr>
          <w:rFonts w:ascii="Arial" w:hAnsi="Arial" w:cs="Arial"/>
        </w:rPr>
        <w:t xml:space="preserve">The </w:t>
      </w:r>
      <w:r w:rsidRPr="0002051F">
        <w:rPr>
          <w:rFonts w:ascii="Arial" w:hAnsi="Arial" w:cs="Arial"/>
        </w:rPr>
        <w:t>Government must consider the needs of our local communities as post-exit financial decisions are made.</w:t>
      </w:r>
    </w:p>
    <w:p w14:paraId="7BC62116" w14:textId="650CB8DE" w:rsidR="00FB656D" w:rsidRPr="00C03C94" w:rsidRDefault="00FB656D" w:rsidP="00082CC1">
      <w:pPr>
        <w:rPr>
          <w:rFonts w:ascii="Arial" w:hAnsi="Arial" w:cs="Arial"/>
          <w:szCs w:val="22"/>
        </w:rPr>
      </w:pPr>
    </w:p>
    <w:p w14:paraId="3F75A724" w14:textId="77777777" w:rsidR="00FB656D" w:rsidRPr="00C03C94" w:rsidRDefault="00FB656D" w:rsidP="00FB656D">
      <w:pPr>
        <w:autoSpaceDE w:val="0"/>
        <w:autoSpaceDN w:val="0"/>
        <w:rPr>
          <w:rFonts w:ascii="Arial" w:hAnsi="Arial" w:cs="Arial"/>
          <w:b/>
          <w:u w:val="single"/>
        </w:rPr>
      </w:pPr>
      <w:r w:rsidRPr="00C03C94">
        <w:rPr>
          <w:rFonts w:ascii="Arial" w:hAnsi="Arial" w:cs="Arial"/>
          <w:b/>
          <w:u w:val="single"/>
        </w:rPr>
        <w:t>Change from Autumn Statement to Autumn Budget</w:t>
      </w:r>
    </w:p>
    <w:p w14:paraId="1F99D6BD" w14:textId="77777777" w:rsidR="00FB656D" w:rsidRPr="00C03C94" w:rsidRDefault="00FB656D" w:rsidP="00FB656D">
      <w:pPr>
        <w:autoSpaceDE w:val="0"/>
        <w:autoSpaceDN w:val="0"/>
        <w:rPr>
          <w:rFonts w:ascii="Arial" w:hAnsi="Arial" w:cs="Arial"/>
          <w:b/>
          <w:u w:val="single"/>
        </w:rPr>
      </w:pPr>
    </w:p>
    <w:p w14:paraId="6BCFCF26" w14:textId="77777777" w:rsidR="00FB656D" w:rsidRPr="00C03C94" w:rsidRDefault="00FB656D" w:rsidP="00FB656D">
      <w:pPr>
        <w:autoSpaceDE w:val="0"/>
        <w:autoSpaceDN w:val="0"/>
        <w:rPr>
          <w:rFonts w:ascii="Arial" w:hAnsi="Arial" w:cs="Arial"/>
          <w:b/>
        </w:rPr>
      </w:pPr>
      <w:r w:rsidRPr="00C03C94">
        <w:rPr>
          <w:rFonts w:ascii="Arial" w:hAnsi="Arial" w:cs="Arial"/>
          <w:b/>
        </w:rPr>
        <w:t>The Chancellor announced:</w:t>
      </w:r>
    </w:p>
    <w:p w14:paraId="1E4AD161" w14:textId="77777777" w:rsidR="00FB656D" w:rsidRPr="00C03C94" w:rsidRDefault="00FB656D" w:rsidP="00FB656D">
      <w:pPr>
        <w:autoSpaceDE w:val="0"/>
        <w:autoSpaceDN w:val="0"/>
        <w:rPr>
          <w:rFonts w:ascii="Arial" w:hAnsi="Arial" w:cs="Arial"/>
          <w:b/>
        </w:rPr>
      </w:pPr>
    </w:p>
    <w:p w14:paraId="374F315C" w14:textId="1B9EC64F" w:rsidR="00FB656D" w:rsidRPr="00C03C94" w:rsidRDefault="00FB656D" w:rsidP="00AB523F">
      <w:pPr>
        <w:pStyle w:val="ListParagraph"/>
        <w:numPr>
          <w:ilvl w:val="0"/>
          <w:numId w:val="17"/>
        </w:numPr>
        <w:jc w:val="both"/>
        <w:rPr>
          <w:rFonts w:ascii="Arial" w:hAnsi="Arial"/>
        </w:rPr>
      </w:pPr>
      <w:r w:rsidRPr="00C03C94">
        <w:rPr>
          <w:rFonts w:ascii="Arial" w:hAnsi="Arial" w:cs="Arial"/>
          <w:szCs w:val="22"/>
        </w:rPr>
        <w:t>The Government intends to move towards having a single major fiscal event each year. Following the spring 2017 Budget and Finance Bill, Budgets will be announced in the autumn. The first one will take place in autumn 2017. The OBR will produce a spring forecast from spring 2018 and the Government will make a Spring Statement responding to that forecast. The Statement will review wider economic and fiscal challenges and launch consultations. The Government will retain the option to make changes to fiscal policy at the Spring Statement if the economic circumstances require it</w:t>
      </w:r>
      <w:r w:rsidRPr="00C03C94">
        <w:rPr>
          <w:rFonts w:ascii="Arial" w:hAnsi="Arial"/>
        </w:rPr>
        <w:t xml:space="preserve"> </w:t>
      </w:r>
      <w:r w:rsidRPr="00C03C94">
        <w:rPr>
          <w:rFonts w:ascii="Arial" w:hAnsi="Arial"/>
          <w:i/>
        </w:rPr>
        <w:t>(</w:t>
      </w:r>
      <w:r w:rsidRPr="00C03C94">
        <w:rPr>
          <w:rFonts w:ascii="Arial" w:hAnsi="Arial" w:cs="Arial"/>
          <w:i/>
          <w:szCs w:val="22"/>
        </w:rPr>
        <w:t>Page 35</w:t>
      </w:r>
      <w:r w:rsidR="00206952">
        <w:rPr>
          <w:rFonts w:ascii="Arial" w:hAnsi="Arial" w:cs="Arial"/>
          <w:i/>
          <w:szCs w:val="22"/>
        </w:rPr>
        <w:t>,</w:t>
      </w:r>
      <w:r w:rsidRPr="00C03C94">
        <w:rPr>
          <w:rFonts w:ascii="Arial" w:hAnsi="Arial" w:cs="Arial"/>
          <w:i/>
          <w:szCs w:val="22"/>
        </w:rPr>
        <w:t xml:space="preserve"> </w:t>
      </w:r>
      <w:r w:rsidR="00206952">
        <w:rPr>
          <w:rFonts w:ascii="Arial" w:hAnsi="Arial" w:cs="Arial"/>
          <w:i/>
          <w:szCs w:val="22"/>
        </w:rPr>
        <w:t>p</w:t>
      </w:r>
      <w:r w:rsidRPr="00C03C94">
        <w:rPr>
          <w:rFonts w:ascii="Arial" w:hAnsi="Arial" w:cs="Arial"/>
          <w:i/>
          <w:szCs w:val="22"/>
        </w:rPr>
        <w:t>aragraph 4.1)</w:t>
      </w:r>
      <w:r w:rsidR="00EB7712">
        <w:rPr>
          <w:rFonts w:ascii="Arial" w:hAnsi="Arial" w:cs="Arial"/>
          <w:i/>
          <w:szCs w:val="22"/>
        </w:rPr>
        <w:t>.</w:t>
      </w:r>
    </w:p>
    <w:p w14:paraId="05A8682C" w14:textId="77777777" w:rsidR="00940719" w:rsidRPr="00C03C94" w:rsidRDefault="00940719" w:rsidP="00940719">
      <w:pPr>
        <w:rPr>
          <w:rFonts w:ascii="Arial" w:hAnsi="Arial"/>
        </w:rPr>
      </w:pPr>
    </w:p>
    <w:p w14:paraId="2448D8FF" w14:textId="7A8246D9" w:rsidR="00940719" w:rsidRPr="00C03C94" w:rsidRDefault="00940719" w:rsidP="00940719">
      <w:pPr>
        <w:rPr>
          <w:rFonts w:ascii="Arial" w:hAnsi="Arial"/>
          <w:b/>
        </w:rPr>
      </w:pPr>
      <w:r w:rsidRPr="00C03C94">
        <w:rPr>
          <w:rFonts w:ascii="Arial" w:hAnsi="Arial"/>
          <w:b/>
        </w:rPr>
        <w:t>LGA view:</w:t>
      </w:r>
    </w:p>
    <w:p w14:paraId="19B97320" w14:textId="77777777" w:rsidR="00940719" w:rsidRPr="00C03C94" w:rsidRDefault="00940719" w:rsidP="00940719">
      <w:pPr>
        <w:rPr>
          <w:rFonts w:ascii="Arial" w:hAnsi="Arial"/>
          <w:b/>
        </w:rPr>
      </w:pPr>
    </w:p>
    <w:p w14:paraId="72E4E3D2" w14:textId="1BA59C27" w:rsidR="00940719" w:rsidRPr="00C03C94" w:rsidRDefault="00940719" w:rsidP="00AB523F">
      <w:pPr>
        <w:pStyle w:val="ListParagraph"/>
        <w:numPr>
          <w:ilvl w:val="0"/>
          <w:numId w:val="17"/>
        </w:numPr>
        <w:jc w:val="both"/>
        <w:rPr>
          <w:rFonts w:ascii="Arial" w:hAnsi="Arial"/>
        </w:rPr>
      </w:pPr>
      <w:r w:rsidRPr="00C03C94">
        <w:rPr>
          <w:rFonts w:ascii="Arial" w:hAnsi="Arial"/>
        </w:rPr>
        <w:t>The Government should use this opportunity to review the timing of the Local Government Finance Settlement with a view to bringing it forward in the calendar year as much as possible. This would help local authorities with their budgetary planning.</w:t>
      </w:r>
    </w:p>
    <w:p w14:paraId="32404819" w14:textId="77777777" w:rsidR="00082CC1" w:rsidRPr="00C03C94" w:rsidRDefault="00082CC1" w:rsidP="00082CC1">
      <w:pPr>
        <w:rPr>
          <w:rFonts w:ascii="Arial" w:hAnsi="Arial" w:cs="Arial"/>
          <w:szCs w:val="22"/>
        </w:rPr>
      </w:pPr>
    </w:p>
    <w:p w14:paraId="327E5E53" w14:textId="77777777" w:rsidR="00FB656D" w:rsidRPr="00C03C94" w:rsidRDefault="00FB656D" w:rsidP="00FB656D">
      <w:pPr>
        <w:spacing w:line="240" w:lineRule="auto"/>
        <w:jc w:val="both"/>
        <w:rPr>
          <w:rFonts w:ascii="Arial" w:eastAsia="Arial" w:hAnsi="Arial" w:cs="Arial"/>
          <w:b/>
          <w:u w:val="single"/>
        </w:rPr>
      </w:pPr>
      <w:r w:rsidRPr="00C03C94">
        <w:rPr>
          <w:rFonts w:ascii="Arial" w:eastAsia="Arial" w:hAnsi="Arial" w:cs="Arial"/>
          <w:b/>
          <w:u w:val="single"/>
        </w:rPr>
        <w:t>Public finance</w:t>
      </w:r>
    </w:p>
    <w:p w14:paraId="34F55B03" w14:textId="77777777" w:rsidR="00FB656D" w:rsidRPr="00C03C94" w:rsidRDefault="00FB656D" w:rsidP="00FB656D">
      <w:pPr>
        <w:spacing w:line="240" w:lineRule="auto"/>
        <w:jc w:val="both"/>
        <w:rPr>
          <w:rFonts w:ascii="Arial" w:eastAsia="Arial" w:hAnsi="Arial" w:cs="Arial"/>
          <w:b/>
          <w:u w:val="single"/>
        </w:rPr>
      </w:pPr>
    </w:p>
    <w:p w14:paraId="43B15928" w14:textId="352A7614" w:rsidR="00FB656D" w:rsidRPr="00C03C94" w:rsidRDefault="00FB656D" w:rsidP="00AB523F">
      <w:pPr>
        <w:pStyle w:val="ListParagraph"/>
        <w:widowControl/>
        <w:numPr>
          <w:ilvl w:val="0"/>
          <w:numId w:val="40"/>
        </w:numPr>
        <w:spacing w:after="160" w:line="252" w:lineRule="auto"/>
        <w:contextualSpacing/>
        <w:jc w:val="both"/>
        <w:rPr>
          <w:rFonts w:ascii="Arial" w:hAnsi="Arial" w:cs="Arial"/>
        </w:rPr>
      </w:pPr>
      <w:r w:rsidRPr="00C03C94">
        <w:rPr>
          <w:rFonts w:ascii="Arial" w:hAnsi="Arial" w:cs="Arial"/>
        </w:rPr>
        <w:t xml:space="preserve">The Government remains committed to the departmental spending plans set out in Spending Review 2015 </w:t>
      </w:r>
      <w:r w:rsidRPr="00C03C94">
        <w:rPr>
          <w:rFonts w:ascii="Arial" w:hAnsi="Arial" w:cs="Arial"/>
          <w:i/>
        </w:rPr>
        <w:t>(Page 43, paragraphs 5.1).</w:t>
      </w:r>
    </w:p>
    <w:p w14:paraId="05B62FEC" w14:textId="77777777" w:rsidR="00FB656D" w:rsidRPr="00C03C94" w:rsidRDefault="00FB656D" w:rsidP="00AB523F">
      <w:pPr>
        <w:pStyle w:val="ListParagraph"/>
        <w:widowControl/>
        <w:spacing w:after="160" w:line="252" w:lineRule="auto"/>
        <w:contextualSpacing/>
        <w:jc w:val="both"/>
        <w:rPr>
          <w:rFonts w:ascii="Arial" w:hAnsi="Arial" w:cs="Arial"/>
        </w:rPr>
      </w:pPr>
    </w:p>
    <w:p w14:paraId="395922CA" w14:textId="3900ABA4" w:rsidR="00FB656D" w:rsidRPr="00C03C94" w:rsidRDefault="00FB656D" w:rsidP="00AB523F">
      <w:pPr>
        <w:pStyle w:val="ListParagraph"/>
        <w:widowControl/>
        <w:numPr>
          <w:ilvl w:val="0"/>
          <w:numId w:val="40"/>
        </w:numPr>
        <w:spacing w:after="160" w:line="252" w:lineRule="auto"/>
        <w:contextualSpacing/>
        <w:jc w:val="both"/>
        <w:rPr>
          <w:rFonts w:ascii="Arial" w:hAnsi="Arial" w:cs="Arial"/>
        </w:rPr>
      </w:pPr>
      <w:r w:rsidRPr="00C03C94">
        <w:rPr>
          <w:rFonts w:ascii="Arial" w:hAnsi="Arial" w:cs="Arial"/>
        </w:rPr>
        <w:t xml:space="preserve">The Government reaffirmed its commitment to identify a further £3.5 billion of savings from public spending in 2019/20 following an Efficiency Review. Up to £1 billion of these savings will be reinvested in priority areas. The Efficiency Review will report on progress in autumn 2017 </w:t>
      </w:r>
      <w:r w:rsidRPr="00C03C94">
        <w:rPr>
          <w:rFonts w:ascii="Arial" w:hAnsi="Arial" w:cs="Arial"/>
          <w:i/>
        </w:rPr>
        <w:t>(Page 16, paragraphs 1.53-1.55).</w:t>
      </w:r>
    </w:p>
    <w:p w14:paraId="2B985FBF" w14:textId="77777777" w:rsidR="00FB656D" w:rsidRPr="00C03C94" w:rsidRDefault="00FB656D" w:rsidP="00AB523F">
      <w:pPr>
        <w:pStyle w:val="ListParagraph"/>
        <w:jc w:val="both"/>
        <w:rPr>
          <w:rFonts w:ascii="Arial" w:hAnsi="Arial" w:cs="Arial"/>
        </w:rPr>
      </w:pPr>
    </w:p>
    <w:p w14:paraId="0F9DFD5A" w14:textId="69C58C44" w:rsidR="00FB656D" w:rsidRPr="00C03C94" w:rsidRDefault="00FB656D" w:rsidP="00AB523F">
      <w:pPr>
        <w:pStyle w:val="ListParagraph"/>
        <w:widowControl/>
        <w:numPr>
          <w:ilvl w:val="0"/>
          <w:numId w:val="40"/>
        </w:numPr>
        <w:spacing w:after="160" w:line="252" w:lineRule="auto"/>
        <w:contextualSpacing/>
        <w:jc w:val="both"/>
        <w:rPr>
          <w:rFonts w:ascii="Arial" w:hAnsi="Arial" w:cs="Arial"/>
        </w:rPr>
      </w:pPr>
      <w:r w:rsidRPr="00C03C94">
        <w:rPr>
          <w:rFonts w:ascii="Arial" w:hAnsi="Arial" w:cs="Arial"/>
        </w:rPr>
        <w:t xml:space="preserve">Departmental resource (revenue) spending will continue to grow with inflation in 2020-21, as set out in Budget 2016. Departmental spending will also grow with inflation in 2021-22 </w:t>
      </w:r>
      <w:r w:rsidRPr="00C03C94">
        <w:rPr>
          <w:rFonts w:ascii="Arial" w:hAnsi="Arial" w:cs="Arial"/>
          <w:i/>
        </w:rPr>
        <w:t>(Page 16, paragraphs 1.56).</w:t>
      </w:r>
    </w:p>
    <w:p w14:paraId="3B0D2CCE" w14:textId="77777777" w:rsidR="00FB656D" w:rsidRPr="00C03C94" w:rsidRDefault="00FB656D" w:rsidP="00AB523F">
      <w:pPr>
        <w:pStyle w:val="ListParagraph"/>
        <w:jc w:val="both"/>
        <w:rPr>
          <w:rFonts w:ascii="Arial" w:hAnsi="Arial" w:cs="Arial"/>
        </w:rPr>
      </w:pPr>
    </w:p>
    <w:p w14:paraId="037C9CC7" w14:textId="5AA2F6CD" w:rsidR="00FB656D" w:rsidRPr="00C03C94" w:rsidRDefault="00FB656D" w:rsidP="00AB523F">
      <w:pPr>
        <w:pStyle w:val="ListParagraph"/>
        <w:widowControl/>
        <w:numPr>
          <w:ilvl w:val="0"/>
          <w:numId w:val="40"/>
        </w:numPr>
        <w:spacing w:after="160" w:line="252" w:lineRule="auto"/>
        <w:contextualSpacing/>
        <w:jc w:val="both"/>
        <w:rPr>
          <w:rFonts w:ascii="Arial" w:eastAsia="Arial" w:hAnsi="Arial" w:cs="Arial"/>
          <w:b/>
          <w:u w:val="single"/>
        </w:rPr>
      </w:pPr>
      <w:r w:rsidRPr="00C03C94">
        <w:rPr>
          <w:rFonts w:ascii="Arial" w:hAnsi="Arial" w:cs="Arial"/>
        </w:rPr>
        <w:t xml:space="preserve">The table below sets out the Treasury’s latest plans for revenue and capital expenditure for the current financial year and up to 2021-22. Individual departmental spending limits up to 2019-20 were set out in the Spending Review and Autumn Statement 2015. Detailed information for subsequent years will be set out in a future spending review </w:t>
      </w:r>
      <w:r w:rsidR="00BA6A7D">
        <w:rPr>
          <w:rFonts w:ascii="Arial" w:hAnsi="Arial" w:cs="Arial"/>
          <w:i/>
        </w:rPr>
        <w:t>(Page 17, t</w:t>
      </w:r>
      <w:r w:rsidRPr="00C03C94">
        <w:rPr>
          <w:rFonts w:ascii="Arial" w:hAnsi="Arial" w:cs="Arial"/>
          <w:i/>
        </w:rPr>
        <w:t>able 1.5).</w:t>
      </w:r>
    </w:p>
    <w:p w14:paraId="5E972BC6" w14:textId="77777777" w:rsidR="00FB656D" w:rsidRPr="00C03C94" w:rsidRDefault="00FB656D" w:rsidP="00FB656D">
      <w:pPr>
        <w:pStyle w:val="ListParagraph"/>
        <w:rPr>
          <w:rFonts w:ascii="Arial" w:eastAsia="Arial" w:hAnsi="Arial" w:cs="Arial"/>
          <w:b/>
          <w:u w:val="single"/>
        </w:rPr>
      </w:pPr>
    </w:p>
    <w:tbl>
      <w:tblPr>
        <w:tblW w:w="9639" w:type="dxa"/>
        <w:tblLook w:val="04A0" w:firstRow="1" w:lastRow="0" w:firstColumn="1" w:lastColumn="0" w:noHBand="0" w:noVBand="1"/>
      </w:tblPr>
      <w:tblGrid>
        <w:gridCol w:w="2578"/>
        <w:gridCol w:w="953"/>
        <w:gridCol w:w="155"/>
        <w:gridCol w:w="806"/>
        <w:gridCol w:w="186"/>
        <w:gridCol w:w="770"/>
        <w:gridCol w:w="222"/>
        <w:gridCol w:w="796"/>
        <w:gridCol w:w="197"/>
        <w:gridCol w:w="773"/>
        <w:gridCol w:w="219"/>
        <w:gridCol w:w="850"/>
        <w:gridCol w:w="142"/>
        <w:gridCol w:w="851"/>
        <w:gridCol w:w="141"/>
      </w:tblGrid>
      <w:tr w:rsidR="00C03C94" w:rsidRPr="00C03C94" w14:paraId="3EBA0DF2" w14:textId="77777777" w:rsidTr="00D11D77">
        <w:trPr>
          <w:trHeight w:val="315"/>
        </w:trPr>
        <w:tc>
          <w:tcPr>
            <w:tcW w:w="3686" w:type="dxa"/>
            <w:gridSpan w:val="3"/>
            <w:tcBorders>
              <w:top w:val="nil"/>
              <w:left w:val="nil"/>
              <w:bottom w:val="nil"/>
              <w:right w:val="nil"/>
            </w:tcBorders>
            <w:shd w:val="clear" w:color="000000" w:fill="D9D9D9"/>
            <w:noWrap/>
            <w:vAlign w:val="bottom"/>
            <w:hideMark/>
          </w:tcPr>
          <w:p w14:paraId="5D19211E" w14:textId="77777777" w:rsidR="00D11D77" w:rsidRPr="00C03C94" w:rsidRDefault="00D11D77" w:rsidP="0047656C">
            <w:pPr>
              <w:spacing w:line="240" w:lineRule="auto"/>
              <w:rPr>
                <w:rFonts w:ascii="Arial" w:hAnsi="Arial" w:cs="Arial"/>
                <w:lang w:eastAsia="en-GB"/>
              </w:rPr>
            </w:pPr>
            <w:r w:rsidRPr="00C03C94">
              <w:rPr>
                <w:rFonts w:ascii="Arial" w:hAnsi="Arial" w:cs="Arial"/>
                <w:lang w:eastAsia="en-GB"/>
              </w:rPr>
              <w:t> </w:t>
            </w:r>
          </w:p>
        </w:tc>
        <w:tc>
          <w:tcPr>
            <w:tcW w:w="992" w:type="dxa"/>
            <w:gridSpan w:val="2"/>
            <w:tcBorders>
              <w:top w:val="nil"/>
              <w:left w:val="nil"/>
              <w:bottom w:val="nil"/>
              <w:right w:val="nil"/>
            </w:tcBorders>
            <w:shd w:val="clear" w:color="000000" w:fill="D9D9D9"/>
            <w:noWrap/>
            <w:vAlign w:val="bottom"/>
            <w:hideMark/>
          </w:tcPr>
          <w:p w14:paraId="28186087"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2016-17</w:t>
            </w:r>
          </w:p>
        </w:tc>
        <w:tc>
          <w:tcPr>
            <w:tcW w:w="992" w:type="dxa"/>
            <w:gridSpan w:val="2"/>
            <w:tcBorders>
              <w:top w:val="nil"/>
              <w:left w:val="nil"/>
              <w:bottom w:val="nil"/>
              <w:right w:val="nil"/>
            </w:tcBorders>
            <w:shd w:val="clear" w:color="000000" w:fill="D9D9D9"/>
            <w:noWrap/>
            <w:vAlign w:val="bottom"/>
            <w:hideMark/>
          </w:tcPr>
          <w:p w14:paraId="4A3BF2B5"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2017-18</w:t>
            </w:r>
          </w:p>
        </w:tc>
        <w:tc>
          <w:tcPr>
            <w:tcW w:w="993" w:type="dxa"/>
            <w:gridSpan w:val="2"/>
            <w:tcBorders>
              <w:top w:val="nil"/>
              <w:left w:val="nil"/>
              <w:bottom w:val="nil"/>
              <w:right w:val="nil"/>
            </w:tcBorders>
            <w:shd w:val="clear" w:color="000000" w:fill="D9D9D9"/>
            <w:noWrap/>
            <w:vAlign w:val="bottom"/>
            <w:hideMark/>
          </w:tcPr>
          <w:p w14:paraId="78DAF785"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2018-19</w:t>
            </w:r>
          </w:p>
        </w:tc>
        <w:tc>
          <w:tcPr>
            <w:tcW w:w="992" w:type="dxa"/>
            <w:gridSpan w:val="2"/>
            <w:tcBorders>
              <w:top w:val="nil"/>
              <w:left w:val="nil"/>
              <w:bottom w:val="nil"/>
              <w:right w:val="nil"/>
            </w:tcBorders>
            <w:shd w:val="clear" w:color="000000" w:fill="D9D9D9"/>
            <w:noWrap/>
            <w:vAlign w:val="bottom"/>
            <w:hideMark/>
          </w:tcPr>
          <w:p w14:paraId="0356AD7E"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2019-20</w:t>
            </w:r>
          </w:p>
        </w:tc>
        <w:tc>
          <w:tcPr>
            <w:tcW w:w="992" w:type="dxa"/>
            <w:gridSpan w:val="2"/>
            <w:tcBorders>
              <w:top w:val="nil"/>
              <w:left w:val="nil"/>
              <w:bottom w:val="nil"/>
              <w:right w:val="nil"/>
            </w:tcBorders>
            <w:shd w:val="clear" w:color="000000" w:fill="D9D9D9"/>
            <w:noWrap/>
            <w:vAlign w:val="bottom"/>
            <w:hideMark/>
          </w:tcPr>
          <w:p w14:paraId="2F4A7E23"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2020-21</w:t>
            </w:r>
          </w:p>
        </w:tc>
        <w:tc>
          <w:tcPr>
            <w:tcW w:w="992" w:type="dxa"/>
            <w:gridSpan w:val="2"/>
            <w:tcBorders>
              <w:top w:val="nil"/>
              <w:left w:val="nil"/>
              <w:bottom w:val="nil"/>
              <w:right w:val="nil"/>
            </w:tcBorders>
            <w:shd w:val="clear" w:color="000000" w:fill="D9D9D9"/>
            <w:noWrap/>
            <w:vAlign w:val="bottom"/>
            <w:hideMark/>
          </w:tcPr>
          <w:p w14:paraId="57D5C381"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2021-22</w:t>
            </w:r>
          </w:p>
        </w:tc>
      </w:tr>
      <w:tr w:rsidR="00C03C94" w:rsidRPr="00C03C94" w14:paraId="726A6E6B" w14:textId="77777777" w:rsidTr="00D11D77">
        <w:trPr>
          <w:trHeight w:val="330"/>
        </w:trPr>
        <w:tc>
          <w:tcPr>
            <w:tcW w:w="3686" w:type="dxa"/>
            <w:gridSpan w:val="3"/>
            <w:tcBorders>
              <w:top w:val="nil"/>
              <w:left w:val="nil"/>
              <w:bottom w:val="single" w:sz="8" w:space="0" w:color="auto"/>
              <w:right w:val="nil"/>
            </w:tcBorders>
            <w:shd w:val="clear" w:color="000000" w:fill="D9D9D9"/>
            <w:noWrap/>
            <w:vAlign w:val="bottom"/>
            <w:hideMark/>
          </w:tcPr>
          <w:p w14:paraId="02B5CDD7" w14:textId="77777777" w:rsidR="00D11D77" w:rsidRPr="00C03C94" w:rsidRDefault="00D11D77" w:rsidP="0047656C">
            <w:pPr>
              <w:spacing w:line="240" w:lineRule="auto"/>
              <w:rPr>
                <w:rFonts w:ascii="Arial" w:hAnsi="Arial" w:cs="Arial"/>
                <w:lang w:eastAsia="en-GB"/>
              </w:rPr>
            </w:pPr>
            <w:r w:rsidRPr="00C03C94">
              <w:rPr>
                <w:rFonts w:ascii="Arial" w:hAnsi="Arial" w:cs="Arial"/>
                <w:lang w:eastAsia="en-GB"/>
              </w:rPr>
              <w:t> </w:t>
            </w:r>
          </w:p>
        </w:tc>
        <w:tc>
          <w:tcPr>
            <w:tcW w:w="5953" w:type="dxa"/>
            <w:gridSpan w:val="12"/>
            <w:tcBorders>
              <w:top w:val="nil"/>
              <w:left w:val="nil"/>
              <w:bottom w:val="single" w:sz="8" w:space="0" w:color="auto"/>
              <w:right w:val="nil"/>
            </w:tcBorders>
            <w:shd w:val="clear" w:color="000000" w:fill="D9D9D9"/>
            <w:noWrap/>
            <w:vAlign w:val="bottom"/>
            <w:hideMark/>
          </w:tcPr>
          <w:p w14:paraId="13A66B2E" w14:textId="77777777" w:rsidR="00D11D77" w:rsidRPr="00C03C94" w:rsidRDefault="00D11D77" w:rsidP="0047656C">
            <w:pPr>
              <w:spacing w:line="240" w:lineRule="auto"/>
              <w:jc w:val="center"/>
              <w:rPr>
                <w:rFonts w:ascii="Calibri" w:hAnsi="Calibri" w:cs="Arial"/>
                <w:lang w:eastAsia="en-GB"/>
              </w:rPr>
            </w:pPr>
            <w:r w:rsidRPr="00C03C94">
              <w:rPr>
                <w:rFonts w:ascii="Calibri" w:hAnsi="Calibri" w:cs="Arial"/>
                <w:lang w:eastAsia="en-GB"/>
              </w:rPr>
              <w:t>£ billion</w:t>
            </w:r>
          </w:p>
        </w:tc>
      </w:tr>
      <w:tr w:rsidR="00C03C94" w:rsidRPr="00C03C94" w14:paraId="279C35B7" w14:textId="77777777" w:rsidTr="00D11D77">
        <w:trPr>
          <w:trHeight w:val="315"/>
        </w:trPr>
        <w:tc>
          <w:tcPr>
            <w:tcW w:w="3686" w:type="dxa"/>
            <w:gridSpan w:val="3"/>
            <w:tcBorders>
              <w:top w:val="nil"/>
              <w:left w:val="nil"/>
              <w:bottom w:val="nil"/>
              <w:right w:val="nil"/>
            </w:tcBorders>
            <w:shd w:val="clear" w:color="000000" w:fill="FFFFFF"/>
            <w:vAlign w:val="bottom"/>
            <w:hideMark/>
          </w:tcPr>
          <w:p w14:paraId="781B043E"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Resource (Revenue) Expenditure</w:t>
            </w:r>
          </w:p>
        </w:tc>
        <w:tc>
          <w:tcPr>
            <w:tcW w:w="992" w:type="dxa"/>
            <w:gridSpan w:val="2"/>
            <w:tcBorders>
              <w:top w:val="nil"/>
              <w:left w:val="nil"/>
              <w:bottom w:val="nil"/>
              <w:right w:val="nil"/>
            </w:tcBorders>
            <w:shd w:val="clear" w:color="000000" w:fill="FFFFFF"/>
            <w:noWrap/>
            <w:vAlign w:val="center"/>
            <w:hideMark/>
          </w:tcPr>
          <w:p w14:paraId="3F7EA4A7"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 </w:t>
            </w:r>
          </w:p>
        </w:tc>
        <w:tc>
          <w:tcPr>
            <w:tcW w:w="992" w:type="dxa"/>
            <w:gridSpan w:val="2"/>
            <w:tcBorders>
              <w:top w:val="nil"/>
              <w:left w:val="nil"/>
              <w:bottom w:val="nil"/>
              <w:right w:val="nil"/>
            </w:tcBorders>
            <w:shd w:val="clear" w:color="000000" w:fill="FFFFFF"/>
            <w:noWrap/>
            <w:vAlign w:val="center"/>
            <w:hideMark/>
          </w:tcPr>
          <w:p w14:paraId="787F6452"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 </w:t>
            </w:r>
          </w:p>
        </w:tc>
        <w:tc>
          <w:tcPr>
            <w:tcW w:w="993" w:type="dxa"/>
            <w:gridSpan w:val="2"/>
            <w:tcBorders>
              <w:top w:val="nil"/>
              <w:left w:val="nil"/>
              <w:bottom w:val="nil"/>
              <w:right w:val="nil"/>
            </w:tcBorders>
            <w:shd w:val="clear" w:color="000000" w:fill="FFFFFF"/>
            <w:noWrap/>
            <w:vAlign w:val="center"/>
            <w:hideMark/>
          </w:tcPr>
          <w:p w14:paraId="4A388CD5"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 </w:t>
            </w:r>
          </w:p>
        </w:tc>
        <w:tc>
          <w:tcPr>
            <w:tcW w:w="992" w:type="dxa"/>
            <w:gridSpan w:val="2"/>
            <w:tcBorders>
              <w:top w:val="nil"/>
              <w:left w:val="nil"/>
              <w:bottom w:val="nil"/>
              <w:right w:val="nil"/>
            </w:tcBorders>
            <w:shd w:val="clear" w:color="000000" w:fill="FFFFFF"/>
            <w:noWrap/>
            <w:vAlign w:val="center"/>
            <w:hideMark/>
          </w:tcPr>
          <w:p w14:paraId="767FA8B5"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 </w:t>
            </w:r>
          </w:p>
        </w:tc>
        <w:tc>
          <w:tcPr>
            <w:tcW w:w="992" w:type="dxa"/>
            <w:gridSpan w:val="2"/>
            <w:tcBorders>
              <w:top w:val="nil"/>
              <w:left w:val="nil"/>
              <w:bottom w:val="nil"/>
              <w:right w:val="nil"/>
            </w:tcBorders>
            <w:shd w:val="clear" w:color="000000" w:fill="FFFFFF"/>
            <w:noWrap/>
            <w:vAlign w:val="center"/>
            <w:hideMark/>
          </w:tcPr>
          <w:p w14:paraId="1A782616"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 </w:t>
            </w:r>
          </w:p>
        </w:tc>
        <w:tc>
          <w:tcPr>
            <w:tcW w:w="992" w:type="dxa"/>
            <w:gridSpan w:val="2"/>
            <w:tcBorders>
              <w:top w:val="nil"/>
              <w:left w:val="nil"/>
              <w:bottom w:val="nil"/>
              <w:right w:val="nil"/>
            </w:tcBorders>
            <w:shd w:val="clear" w:color="000000" w:fill="FFFFFF"/>
            <w:noWrap/>
            <w:vAlign w:val="center"/>
            <w:hideMark/>
          </w:tcPr>
          <w:p w14:paraId="0E59D710"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 </w:t>
            </w:r>
          </w:p>
        </w:tc>
      </w:tr>
      <w:tr w:rsidR="00C03C94" w:rsidRPr="00C03C94" w14:paraId="0AE70F4B" w14:textId="77777777" w:rsidTr="00D11D77">
        <w:trPr>
          <w:trHeight w:val="315"/>
        </w:trPr>
        <w:tc>
          <w:tcPr>
            <w:tcW w:w="3686" w:type="dxa"/>
            <w:gridSpan w:val="3"/>
            <w:tcBorders>
              <w:top w:val="nil"/>
              <w:left w:val="nil"/>
              <w:bottom w:val="nil"/>
              <w:right w:val="nil"/>
            </w:tcBorders>
            <w:shd w:val="clear" w:color="000000" w:fill="FFFFFF"/>
            <w:vAlign w:val="bottom"/>
            <w:hideMark/>
          </w:tcPr>
          <w:p w14:paraId="2EC56A19"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Resource DEL excl. depreciation</w:t>
            </w:r>
          </w:p>
        </w:tc>
        <w:tc>
          <w:tcPr>
            <w:tcW w:w="992" w:type="dxa"/>
            <w:gridSpan w:val="2"/>
            <w:tcBorders>
              <w:top w:val="nil"/>
              <w:left w:val="nil"/>
              <w:bottom w:val="nil"/>
              <w:right w:val="nil"/>
            </w:tcBorders>
            <w:shd w:val="clear" w:color="000000" w:fill="FFFFFF"/>
            <w:noWrap/>
            <w:vAlign w:val="center"/>
            <w:hideMark/>
          </w:tcPr>
          <w:p w14:paraId="668418E5"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370.2</w:t>
            </w:r>
          </w:p>
        </w:tc>
        <w:tc>
          <w:tcPr>
            <w:tcW w:w="992" w:type="dxa"/>
            <w:gridSpan w:val="2"/>
            <w:tcBorders>
              <w:top w:val="nil"/>
              <w:left w:val="nil"/>
              <w:bottom w:val="nil"/>
              <w:right w:val="nil"/>
            </w:tcBorders>
            <w:shd w:val="clear" w:color="000000" w:fill="FFFFFF"/>
            <w:noWrap/>
            <w:vAlign w:val="center"/>
            <w:hideMark/>
          </w:tcPr>
          <w:p w14:paraId="74BC04E5"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386.9</w:t>
            </w:r>
          </w:p>
        </w:tc>
        <w:tc>
          <w:tcPr>
            <w:tcW w:w="993" w:type="dxa"/>
            <w:gridSpan w:val="2"/>
            <w:tcBorders>
              <w:top w:val="nil"/>
              <w:left w:val="nil"/>
              <w:bottom w:val="nil"/>
              <w:right w:val="nil"/>
            </w:tcBorders>
            <w:shd w:val="clear" w:color="000000" w:fill="FFFFFF"/>
            <w:noWrap/>
            <w:vAlign w:val="center"/>
            <w:hideMark/>
          </w:tcPr>
          <w:p w14:paraId="6C14C11F"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400.3</w:t>
            </w:r>
          </w:p>
        </w:tc>
        <w:tc>
          <w:tcPr>
            <w:tcW w:w="992" w:type="dxa"/>
            <w:gridSpan w:val="2"/>
            <w:tcBorders>
              <w:top w:val="nil"/>
              <w:left w:val="nil"/>
              <w:bottom w:val="nil"/>
              <w:right w:val="nil"/>
            </w:tcBorders>
            <w:shd w:val="clear" w:color="000000" w:fill="FFFFFF"/>
            <w:noWrap/>
            <w:vAlign w:val="center"/>
            <w:hideMark/>
          </w:tcPr>
          <w:p w14:paraId="7341ACE2"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407.2</w:t>
            </w:r>
          </w:p>
        </w:tc>
        <w:tc>
          <w:tcPr>
            <w:tcW w:w="992" w:type="dxa"/>
            <w:gridSpan w:val="2"/>
            <w:tcBorders>
              <w:top w:val="nil"/>
              <w:left w:val="nil"/>
              <w:bottom w:val="nil"/>
              <w:right w:val="nil"/>
            </w:tcBorders>
            <w:shd w:val="clear" w:color="000000" w:fill="FFFFFF"/>
            <w:noWrap/>
            <w:vAlign w:val="center"/>
            <w:hideMark/>
          </w:tcPr>
          <w:p w14:paraId="3992463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421.1</w:t>
            </w:r>
          </w:p>
        </w:tc>
        <w:tc>
          <w:tcPr>
            <w:tcW w:w="992" w:type="dxa"/>
            <w:gridSpan w:val="2"/>
            <w:tcBorders>
              <w:top w:val="nil"/>
              <w:left w:val="nil"/>
              <w:bottom w:val="nil"/>
              <w:right w:val="nil"/>
            </w:tcBorders>
            <w:shd w:val="clear" w:color="000000" w:fill="FFFFFF"/>
            <w:noWrap/>
            <w:vAlign w:val="center"/>
            <w:hideMark/>
          </w:tcPr>
          <w:p w14:paraId="3B9CD6BE"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439.8</w:t>
            </w:r>
          </w:p>
        </w:tc>
      </w:tr>
      <w:tr w:rsidR="00C03C94" w:rsidRPr="00C03C94" w14:paraId="5FCCFDA8" w14:textId="77777777" w:rsidTr="00D11D77">
        <w:trPr>
          <w:trHeight w:val="315"/>
        </w:trPr>
        <w:tc>
          <w:tcPr>
            <w:tcW w:w="3686" w:type="dxa"/>
            <w:gridSpan w:val="3"/>
            <w:tcBorders>
              <w:top w:val="nil"/>
              <w:left w:val="nil"/>
              <w:bottom w:val="nil"/>
              <w:right w:val="nil"/>
            </w:tcBorders>
            <w:shd w:val="clear" w:color="000000" w:fill="FFFFFF"/>
            <w:vAlign w:val="bottom"/>
            <w:hideMark/>
          </w:tcPr>
          <w:p w14:paraId="5D4262AC"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Ringfenced depreciation</w:t>
            </w:r>
          </w:p>
        </w:tc>
        <w:tc>
          <w:tcPr>
            <w:tcW w:w="992" w:type="dxa"/>
            <w:gridSpan w:val="2"/>
            <w:tcBorders>
              <w:top w:val="nil"/>
              <w:left w:val="nil"/>
              <w:bottom w:val="nil"/>
              <w:right w:val="nil"/>
            </w:tcBorders>
            <w:shd w:val="clear" w:color="000000" w:fill="FFFFFF"/>
            <w:noWrap/>
            <w:vAlign w:val="center"/>
            <w:hideMark/>
          </w:tcPr>
          <w:p w14:paraId="56D043B0"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309.0</w:t>
            </w:r>
          </w:p>
        </w:tc>
        <w:tc>
          <w:tcPr>
            <w:tcW w:w="992" w:type="dxa"/>
            <w:gridSpan w:val="2"/>
            <w:tcBorders>
              <w:top w:val="nil"/>
              <w:left w:val="nil"/>
              <w:bottom w:val="nil"/>
              <w:right w:val="nil"/>
            </w:tcBorders>
            <w:shd w:val="clear" w:color="000000" w:fill="FFFFFF"/>
            <w:noWrap/>
            <w:vAlign w:val="center"/>
            <w:hideMark/>
          </w:tcPr>
          <w:p w14:paraId="0EC1A3A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304.2</w:t>
            </w:r>
          </w:p>
        </w:tc>
        <w:tc>
          <w:tcPr>
            <w:tcW w:w="993" w:type="dxa"/>
            <w:gridSpan w:val="2"/>
            <w:tcBorders>
              <w:top w:val="nil"/>
              <w:left w:val="nil"/>
              <w:bottom w:val="nil"/>
              <w:right w:val="nil"/>
            </w:tcBorders>
            <w:shd w:val="clear" w:color="000000" w:fill="FFFFFF"/>
            <w:noWrap/>
            <w:vAlign w:val="center"/>
            <w:hideMark/>
          </w:tcPr>
          <w:p w14:paraId="35B05360"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306.3</w:t>
            </w:r>
          </w:p>
        </w:tc>
        <w:tc>
          <w:tcPr>
            <w:tcW w:w="992" w:type="dxa"/>
            <w:gridSpan w:val="2"/>
            <w:tcBorders>
              <w:top w:val="nil"/>
              <w:left w:val="nil"/>
              <w:bottom w:val="nil"/>
              <w:right w:val="nil"/>
            </w:tcBorders>
            <w:shd w:val="clear" w:color="000000" w:fill="FFFFFF"/>
            <w:noWrap/>
            <w:vAlign w:val="center"/>
            <w:hideMark/>
          </w:tcPr>
          <w:p w14:paraId="487B609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305.6</w:t>
            </w:r>
          </w:p>
        </w:tc>
        <w:tc>
          <w:tcPr>
            <w:tcW w:w="992" w:type="dxa"/>
            <w:gridSpan w:val="2"/>
            <w:tcBorders>
              <w:top w:val="nil"/>
              <w:left w:val="nil"/>
              <w:bottom w:val="nil"/>
              <w:right w:val="nil"/>
            </w:tcBorders>
            <w:shd w:val="clear" w:color="000000" w:fill="FFFFFF"/>
            <w:noWrap/>
            <w:vAlign w:val="center"/>
            <w:hideMark/>
          </w:tcPr>
          <w:p w14:paraId="40347A96"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311.5</w:t>
            </w:r>
          </w:p>
        </w:tc>
        <w:tc>
          <w:tcPr>
            <w:tcW w:w="992" w:type="dxa"/>
            <w:gridSpan w:val="2"/>
            <w:tcBorders>
              <w:top w:val="nil"/>
              <w:left w:val="nil"/>
              <w:bottom w:val="nil"/>
              <w:right w:val="nil"/>
            </w:tcBorders>
            <w:shd w:val="clear" w:color="000000" w:fill="FFFFFF"/>
            <w:noWrap/>
            <w:vAlign w:val="center"/>
            <w:hideMark/>
          </w:tcPr>
          <w:p w14:paraId="384F9326"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317.6</w:t>
            </w:r>
          </w:p>
        </w:tc>
      </w:tr>
      <w:tr w:rsidR="00C03C94" w:rsidRPr="00C03C94" w14:paraId="785271C9" w14:textId="77777777" w:rsidTr="00D11D77">
        <w:trPr>
          <w:trHeight w:val="315"/>
        </w:trPr>
        <w:tc>
          <w:tcPr>
            <w:tcW w:w="3686" w:type="dxa"/>
            <w:gridSpan w:val="3"/>
            <w:tcBorders>
              <w:top w:val="nil"/>
              <w:left w:val="nil"/>
              <w:bottom w:val="nil"/>
              <w:right w:val="nil"/>
            </w:tcBorders>
            <w:shd w:val="clear" w:color="000000" w:fill="FFFFFF"/>
            <w:vAlign w:val="bottom"/>
            <w:hideMark/>
          </w:tcPr>
          <w:p w14:paraId="562C029A"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Resource AME</w:t>
            </w:r>
          </w:p>
        </w:tc>
        <w:tc>
          <w:tcPr>
            <w:tcW w:w="992" w:type="dxa"/>
            <w:gridSpan w:val="2"/>
            <w:tcBorders>
              <w:top w:val="nil"/>
              <w:left w:val="nil"/>
              <w:bottom w:val="nil"/>
              <w:right w:val="nil"/>
            </w:tcBorders>
            <w:shd w:val="clear" w:color="000000" w:fill="FFFFFF"/>
            <w:noWrap/>
            <w:vAlign w:val="center"/>
            <w:hideMark/>
          </w:tcPr>
          <w:p w14:paraId="716CAF5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20.6</w:t>
            </w:r>
          </w:p>
        </w:tc>
        <w:tc>
          <w:tcPr>
            <w:tcW w:w="992" w:type="dxa"/>
            <w:gridSpan w:val="2"/>
            <w:tcBorders>
              <w:top w:val="nil"/>
              <w:left w:val="nil"/>
              <w:bottom w:val="nil"/>
              <w:right w:val="nil"/>
            </w:tcBorders>
            <w:shd w:val="clear" w:color="000000" w:fill="FFFFFF"/>
            <w:noWrap/>
            <w:vAlign w:val="center"/>
            <w:hideMark/>
          </w:tcPr>
          <w:p w14:paraId="718FEEA0"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21.9</w:t>
            </w:r>
          </w:p>
        </w:tc>
        <w:tc>
          <w:tcPr>
            <w:tcW w:w="993" w:type="dxa"/>
            <w:gridSpan w:val="2"/>
            <w:tcBorders>
              <w:top w:val="nil"/>
              <w:left w:val="nil"/>
              <w:bottom w:val="nil"/>
              <w:right w:val="nil"/>
            </w:tcBorders>
            <w:shd w:val="clear" w:color="000000" w:fill="FFFFFF"/>
            <w:noWrap/>
            <w:vAlign w:val="center"/>
            <w:hideMark/>
          </w:tcPr>
          <w:p w14:paraId="39C275B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22.8</w:t>
            </w:r>
          </w:p>
        </w:tc>
        <w:tc>
          <w:tcPr>
            <w:tcW w:w="992" w:type="dxa"/>
            <w:gridSpan w:val="2"/>
            <w:tcBorders>
              <w:top w:val="nil"/>
              <w:left w:val="nil"/>
              <w:bottom w:val="nil"/>
              <w:right w:val="nil"/>
            </w:tcBorders>
            <w:shd w:val="clear" w:color="000000" w:fill="FFFFFF"/>
            <w:noWrap/>
            <w:vAlign w:val="center"/>
            <w:hideMark/>
          </w:tcPr>
          <w:p w14:paraId="742B0EF3"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23.3</w:t>
            </w:r>
          </w:p>
        </w:tc>
        <w:tc>
          <w:tcPr>
            <w:tcW w:w="992" w:type="dxa"/>
            <w:gridSpan w:val="2"/>
            <w:tcBorders>
              <w:top w:val="nil"/>
              <w:left w:val="nil"/>
              <w:bottom w:val="nil"/>
              <w:right w:val="nil"/>
            </w:tcBorders>
            <w:shd w:val="clear" w:color="000000" w:fill="FFFFFF"/>
            <w:noWrap/>
            <w:vAlign w:val="center"/>
            <w:hideMark/>
          </w:tcPr>
          <w:p w14:paraId="32E96AD4"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21.9</w:t>
            </w:r>
          </w:p>
        </w:tc>
        <w:tc>
          <w:tcPr>
            <w:tcW w:w="992" w:type="dxa"/>
            <w:gridSpan w:val="2"/>
            <w:tcBorders>
              <w:top w:val="nil"/>
              <w:left w:val="nil"/>
              <w:bottom w:val="nil"/>
              <w:right w:val="nil"/>
            </w:tcBorders>
            <w:shd w:val="clear" w:color="000000" w:fill="FFFFFF"/>
            <w:noWrap/>
            <w:vAlign w:val="center"/>
            <w:hideMark/>
          </w:tcPr>
          <w:p w14:paraId="3FB405E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22.8</w:t>
            </w:r>
          </w:p>
        </w:tc>
      </w:tr>
      <w:tr w:rsidR="00C03C94" w:rsidRPr="00C03C94" w14:paraId="1B3A9C9E" w14:textId="77777777" w:rsidTr="00D11D77">
        <w:trPr>
          <w:trHeight w:val="315"/>
        </w:trPr>
        <w:tc>
          <w:tcPr>
            <w:tcW w:w="3686" w:type="dxa"/>
            <w:gridSpan w:val="3"/>
            <w:tcBorders>
              <w:top w:val="single" w:sz="4" w:space="0" w:color="auto"/>
              <w:left w:val="nil"/>
              <w:bottom w:val="single" w:sz="4" w:space="0" w:color="auto"/>
              <w:right w:val="nil"/>
            </w:tcBorders>
            <w:shd w:val="clear" w:color="000000" w:fill="FFFFFF"/>
            <w:vAlign w:val="bottom"/>
            <w:hideMark/>
          </w:tcPr>
          <w:p w14:paraId="0DE41F30"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Public Sector Current Expenditure</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038D2EF6"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699.8</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5A4F4186"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713.0</w:t>
            </w:r>
          </w:p>
        </w:tc>
        <w:tc>
          <w:tcPr>
            <w:tcW w:w="993" w:type="dxa"/>
            <w:gridSpan w:val="2"/>
            <w:tcBorders>
              <w:top w:val="single" w:sz="4" w:space="0" w:color="auto"/>
              <w:left w:val="nil"/>
              <w:bottom w:val="single" w:sz="4" w:space="0" w:color="auto"/>
              <w:right w:val="nil"/>
            </w:tcBorders>
            <w:shd w:val="clear" w:color="000000" w:fill="FFFFFF"/>
            <w:noWrap/>
            <w:vAlign w:val="center"/>
            <w:hideMark/>
          </w:tcPr>
          <w:p w14:paraId="2D918753"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729.4</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4301463B"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736.2</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22F01F6D"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754.5</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70F251D7"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780.1</w:t>
            </w:r>
          </w:p>
        </w:tc>
      </w:tr>
      <w:tr w:rsidR="00C03C94" w:rsidRPr="00C03C94" w14:paraId="5A76C6DA" w14:textId="77777777" w:rsidTr="00D11D77">
        <w:trPr>
          <w:trHeight w:val="315"/>
        </w:trPr>
        <w:tc>
          <w:tcPr>
            <w:tcW w:w="3686" w:type="dxa"/>
            <w:gridSpan w:val="3"/>
            <w:tcBorders>
              <w:top w:val="nil"/>
              <w:left w:val="nil"/>
              <w:bottom w:val="nil"/>
              <w:right w:val="nil"/>
            </w:tcBorders>
            <w:shd w:val="clear" w:color="000000" w:fill="FFFFFF"/>
            <w:vAlign w:val="bottom"/>
            <w:hideMark/>
          </w:tcPr>
          <w:p w14:paraId="32972873"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Capital Expenditure</w:t>
            </w:r>
          </w:p>
        </w:tc>
        <w:tc>
          <w:tcPr>
            <w:tcW w:w="992" w:type="dxa"/>
            <w:gridSpan w:val="2"/>
            <w:tcBorders>
              <w:top w:val="nil"/>
              <w:left w:val="nil"/>
              <w:bottom w:val="nil"/>
              <w:right w:val="nil"/>
            </w:tcBorders>
            <w:shd w:val="clear" w:color="000000" w:fill="FFFFFF"/>
            <w:noWrap/>
            <w:vAlign w:val="center"/>
            <w:hideMark/>
          </w:tcPr>
          <w:p w14:paraId="6BF78F74"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 </w:t>
            </w:r>
          </w:p>
        </w:tc>
        <w:tc>
          <w:tcPr>
            <w:tcW w:w="992" w:type="dxa"/>
            <w:gridSpan w:val="2"/>
            <w:tcBorders>
              <w:top w:val="nil"/>
              <w:left w:val="nil"/>
              <w:bottom w:val="nil"/>
              <w:right w:val="nil"/>
            </w:tcBorders>
            <w:shd w:val="clear" w:color="000000" w:fill="FFFFFF"/>
            <w:noWrap/>
            <w:vAlign w:val="center"/>
            <w:hideMark/>
          </w:tcPr>
          <w:p w14:paraId="13474084"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 </w:t>
            </w:r>
          </w:p>
        </w:tc>
        <w:tc>
          <w:tcPr>
            <w:tcW w:w="993" w:type="dxa"/>
            <w:gridSpan w:val="2"/>
            <w:tcBorders>
              <w:top w:val="nil"/>
              <w:left w:val="nil"/>
              <w:bottom w:val="nil"/>
              <w:right w:val="nil"/>
            </w:tcBorders>
            <w:shd w:val="clear" w:color="000000" w:fill="FFFFFF"/>
            <w:noWrap/>
            <w:vAlign w:val="center"/>
            <w:hideMark/>
          </w:tcPr>
          <w:p w14:paraId="2F82C6AB"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 </w:t>
            </w:r>
          </w:p>
        </w:tc>
        <w:tc>
          <w:tcPr>
            <w:tcW w:w="992" w:type="dxa"/>
            <w:gridSpan w:val="2"/>
            <w:tcBorders>
              <w:top w:val="nil"/>
              <w:left w:val="nil"/>
              <w:bottom w:val="nil"/>
              <w:right w:val="nil"/>
            </w:tcBorders>
            <w:shd w:val="clear" w:color="000000" w:fill="FFFFFF"/>
            <w:noWrap/>
            <w:vAlign w:val="center"/>
            <w:hideMark/>
          </w:tcPr>
          <w:p w14:paraId="470C693C"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 </w:t>
            </w:r>
          </w:p>
        </w:tc>
        <w:tc>
          <w:tcPr>
            <w:tcW w:w="992" w:type="dxa"/>
            <w:gridSpan w:val="2"/>
            <w:tcBorders>
              <w:top w:val="nil"/>
              <w:left w:val="nil"/>
              <w:bottom w:val="nil"/>
              <w:right w:val="nil"/>
            </w:tcBorders>
            <w:shd w:val="clear" w:color="000000" w:fill="FFFFFF"/>
            <w:noWrap/>
            <w:vAlign w:val="center"/>
            <w:hideMark/>
          </w:tcPr>
          <w:p w14:paraId="422DF7D7"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 </w:t>
            </w:r>
          </w:p>
        </w:tc>
        <w:tc>
          <w:tcPr>
            <w:tcW w:w="992" w:type="dxa"/>
            <w:gridSpan w:val="2"/>
            <w:tcBorders>
              <w:top w:val="nil"/>
              <w:left w:val="nil"/>
              <w:bottom w:val="nil"/>
              <w:right w:val="nil"/>
            </w:tcBorders>
            <w:shd w:val="clear" w:color="000000" w:fill="FFFFFF"/>
            <w:noWrap/>
            <w:vAlign w:val="center"/>
            <w:hideMark/>
          </w:tcPr>
          <w:p w14:paraId="7889D32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 </w:t>
            </w:r>
          </w:p>
        </w:tc>
      </w:tr>
      <w:tr w:rsidR="00C03C94" w:rsidRPr="00C03C94" w14:paraId="2C500F39" w14:textId="77777777" w:rsidTr="00D11D77">
        <w:trPr>
          <w:trHeight w:val="315"/>
        </w:trPr>
        <w:tc>
          <w:tcPr>
            <w:tcW w:w="3686" w:type="dxa"/>
            <w:gridSpan w:val="3"/>
            <w:tcBorders>
              <w:top w:val="nil"/>
              <w:left w:val="nil"/>
              <w:bottom w:val="nil"/>
              <w:right w:val="nil"/>
            </w:tcBorders>
            <w:shd w:val="clear" w:color="000000" w:fill="FFFFFF"/>
            <w:vAlign w:val="bottom"/>
            <w:hideMark/>
          </w:tcPr>
          <w:p w14:paraId="19B775E2"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Capital DEL</w:t>
            </w:r>
          </w:p>
        </w:tc>
        <w:tc>
          <w:tcPr>
            <w:tcW w:w="992" w:type="dxa"/>
            <w:gridSpan w:val="2"/>
            <w:tcBorders>
              <w:top w:val="nil"/>
              <w:left w:val="nil"/>
              <w:bottom w:val="nil"/>
              <w:right w:val="nil"/>
            </w:tcBorders>
            <w:shd w:val="clear" w:color="000000" w:fill="FFFFFF"/>
            <w:noWrap/>
            <w:vAlign w:val="center"/>
            <w:hideMark/>
          </w:tcPr>
          <w:p w14:paraId="2E322D07"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26.6</w:t>
            </w:r>
          </w:p>
        </w:tc>
        <w:tc>
          <w:tcPr>
            <w:tcW w:w="992" w:type="dxa"/>
            <w:gridSpan w:val="2"/>
            <w:tcBorders>
              <w:top w:val="nil"/>
              <w:left w:val="nil"/>
              <w:bottom w:val="nil"/>
              <w:right w:val="nil"/>
            </w:tcBorders>
            <w:shd w:val="clear" w:color="000000" w:fill="FFFFFF"/>
            <w:noWrap/>
            <w:vAlign w:val="center"/>
            <w:hideMark/>
          </w:tcPr>
          <w:p w14:paraId="55F63BC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26.7</w:t>
            </w:r>
          </w:p>
        </w:tc>
        <w:tc>
          <w:tcPr>
            <w:tcW w:w="993" w:type="dxa"/>
            <w:gridSpan w:val="2"/>
            <w:tcBorders>
              <w:top w:val="nil"/>
              <w:left w:val="nil"/>
              <w:bottom w:val="nil"/>
              <w:right w:val="nil"/>
            </w:tcBorders>
            <w:shd w:val="clear" w:color="000000" w:fill="FFFFFF"/>
            <w:noWrap/>
            <w:vAlign w:val="center"/>
            <w:hideMark/>
          </w:tcPr>
          <w:p w14:paraId="62606A7B"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25.8</w:t>
            </w:r>
          </w:p>
        </w:tc>
        <w:tc>
          <w:tcPr>
            <w:tcW w:w="992" w:type="dxa"/>
            <w:gridSpan w:val="2"/>
            <w:tcBorders>
              <w:top w:val="nil"/>
              <w:left w:val="nil"/>
              <w:bottom w:val="nil"/>
              <w:right w:val="nil"/>
            </w:tcBorders>
            <w:shd w:val="clear" w:color="000000" w:fill="FFFFFF"/>
            <w:noWrap/>
            <w:vAlign w:val="center"/>
            <w:hideMark/>
          </w:tcPr>
          <w:p w14:paraId="27E1D012"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27.3</w:t>
            </w:r>
          </w:p>
        </w:tc>
        <w:tc>
          <w:tcPr>
            <w:tcW w:w="992" w:type="dxa"/>
            <w:gridSpan w:val="2"/>
            <w:tcBorders>
              <w:top w:val="nil"/>
              <w:left w:val="nil"/>
              <w:bottom w:val="nil"/>
              <w:right w:val="nil"/>
            </w:tcBorders>
            <w:shd w:val="clear" w:color="000000" w:fill="FFFFFF"/>
            <w:noWrap/>
            <w:vAlign w:val="center"/>
            <w:hideMark/>
          </w:tcPr>
          <w:p w14:paraId="1CF7FEC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30.4</w:t>
            </w:r>
          </w:p>
        </w:tc>
        <w:tc>
          <w:tcPr>
            <w:tcW w:w="992" w:type="dxa"/>
            <w:gridSpan w:val="2"/>
            <w:tcBorders>
              <w:top w:val="nil"/>
              <w:left w:val="nil"/>
              <w:bottom w:val="nil"/>
              <w:right w:val="nil"/>
            </w:tcBorders>
            <w:shd w:val="clear" w:color="000000" w:fill="FFFFFF"/>
            <w:noWrap/>
            <w:vAlign w:val="center"/>
            <w:hideMark/>
          </w:tcPr>
          <w:p w14:paraId="70F619FE"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32.0</w:t>
            </w:r>
          </w:p>
        </w:tc>
      </w:tr>
      <w:tr w:rsidR="00C03C94" w:rsidRPr="00C03C94" w14:paraId="0BD4060C" w14:textId="77777777" w:rsidTr="00D11D77">
        <w:trPr>
          <w:trHeight w:val="315"/>
        </w:trPr>
        <w:tc>
          <w:tcPr>
            <w:tcW w:w="3686" w:type="dxa"/>
            <w:gridSpan w:val="3"/>
            <w:tcBorders>
              <w:top w:val="nil"/>
              <w:left w:val="nil"/>
              <w:bottom w:val="nil"/>
              <w:right w:val="nil"/>
            </w:tcBorders>
            <w:shd w:val="clear" w:color="000000" w:fill="FFFFFF"/>
            <w:vAlign w:val="bottom"/>
            <w:hideMark/>
          </w:tcPr>
          <w:p w14:paraId="1664D18E"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Capital AME</w:t>
            </w:r>
          </w:p>
        </w:tc>
        <w:tc>
          <w:tcPr>
            <w:tcW w:w="992" w:type="dxa"/>
            <w:gridSpan w:val="2"/>
            <w:tcBorders>
              <w:top w:val="nil"/>
              <w:left w:val="nil"/>
              <w:bottom w:val="nil"/>
              <w:right w:val="nil"/>
            </w:tcBorders>
            <w:shd w:val="clear" w:color="000000" w:fill="FFFFFF"/>
            <w:noWrap/>
            <w:vAlign w:val="center"/>
            <w:hideMark/>
          </w:tcPr>
          <w:p w14:paraId="34C7F1E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52.3</w:t>
            </w:r>
          </w:p>
        </w:tc>
        <w:tc>
          <w:tcPr>
            <w:tcW w:w="992" w:type="dxa"/>
            <w:gridSpan w:val="2"/>
            <w:tcBorders>
              <w:top w:val="nil"/>
              <w:left w:val="nil"/>
              <w:bottom w:val="nil"/>
              <w:right w:val="nil"/>
            </w:tcBorders>
            <w:shd w:val="clear" w:color="000000" w:fill="FFFFFF"/>
            <w:noWrap/>
            <w:vAlign w:val="center"/>
            <w:hideMark/>
          </w:tcPr>
          <w:p w14:paraId="75970E8A"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57.2</w:t>
            </w:r>
          </w:p>
        </w:tc>
        <w:tc>
          <w:tcPr>
            <w:tcW w:w="993" w:type="dxa"/>
            <w:gridSpan w:val="2"/>
            <w:tcBorders>
              <w:top w:val="nil"/>
              <w:left w:val="nil"/>
              <w:bottom w:val="nil"/>
              <w:right w:val="nil"/>
            </w:tcBorders>
            <w:shd w:val="clear" w:color="000000" w:fill="FFFFFF"/>
            <w:noWrap/>
            <w:vAlign w:val="center"/>
            <w:hideMark/>
          </w:tcPr>
          <w:p w14:paraId="3F15C11D"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59.2</w:t>
            </w:r>
          </w:p>
        </w:tc>
        <w:tc>
          <w:tcPr>
            <w:tcW w:w="992" w:type="dxa"/>
            <w:gridSpan w:val="2"/>
            <w:tcBorders>
              <w:top w:val="nil"/>
              <w:left w:val="nil"/>
              <w:bottom w:val="nil"/>
              <w:right w:val="nil"/>
            </w:tcBorders>
            <w:shd w:val="clear" w:color="000000" w:fill="FFFFFF"/>
            <w:noWrap/>
            <w:vAlign w:val="center"/>
            <w:hideMark/>
          </w:tcPr>
          <w:p w14:paraId="409E4E7A"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60.2</w:t>
            </w:r>
          </w:p>
        </w:tc>
        <w:tc>
          <w:tcPr>
            <w:tcW w:w="992" w:type="dxa"/>
            <w:gridSpan w:val="2"/>
            <w:tcBorders>
              <w:top w:val="nil"/>
              <w:left w:val="nil"/>
              <w:bottom w:val="nil"/>
              <w:right w:val="nil"/>
            </w:tcBorders>
            <w:shd w:val="clear" w:color="000000" w:fill="FFFFFF"/>
            <w:noWrap/>
            <w:vAlign w:val="center"/>
            <w:hideMark/>
          </w:tcPr>
          <w:p w14:paraId="1435691A"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70.6</w:t>
            </w:r>
          </w:p>
        </w:tc>
        <w:tc>
          <w:tcPr>
            <w:tcW w:w="992" w:type="dxa"/>
            <w:gridSpan w:val="2"/>
            <w:tcBorders>
              <w:top w:val="nil"/>
              <w:left w:val="nil"/>
              <w:bottom w:val="nil"/>
              <w:right w:val="nil"/>
            </w:tcBorders>
            <w:shd w:val="clear" w:color="000000" w:fill="FFFFFF"/>
            <w:noWrap/>
            <w:vAlign w:val="center"/>
            <w:hideMark/>
          </w:tcPr>
          <w:p w14:paraId="600DC88F"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74.2</w:t>
            </w:r>
          </w:p>
        </w:tc>
      </w:tr>
      <w:tr w:rsidR="00C03C94" w:rsidRPr="00C03C94" w14:paraId="47A79C6B" w14:textId="77777777" w:rsidTr="00D11D77">
        <w:trPr>
          <w:trHeight w:val="315"/>
        </w:trPr>
        <w:tc>
          <w:tcPr>
            <w:tcW w:w="3686" w:type="dxa"/>
            <w:gridSpan w:val="3"/>
            <w:tcBorders>
              <w:top w:val="single" w:sz="4" w:space="0" w:color="auto"/>
              <w:left w:val="nil"/>
              <w:bottom w:val="single" w:sz="4" w:space="0" w:color="auto"/>
              <w:right w:val="nil"/>
            </w:tcBorders>
            <w:shd w:val="clear" w:color="000000" w:fill="FFFFFF"/>
            <w:vAlign w:val="bottom"/>
            <w:hideMark/>
          </w:tcPr>
          <w:p w14:paraId="5FF8A3A5"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Public Sector Gross Investment</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60AACE00"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79.0</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13ADC6C5"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84.0</w:t>
            </w:r>
          </w:p>
        </w:tc>
        <w:tc>
          <w:tcPr>
            <w:tcW w:w="993" w:type="dxa"/>
            <w:gridSpan w:val="2"/>
            <w:tcBorders>
              <w:top w:val="single" w:sz="4" w:space="0" w:color="auto"/>
              <w:left w:val="nil"/>
              <w:bottom w:val="single" w:sz="4" w:space="0" w:color="auto"/>
              <w:right w:val="nil"/>
            </w:tcBorders>
            <w:shd w:val="clear" w:color="000000" w:fill="FFFFFF"/>
            <w:noWrap/>
            <w:vAlign w:val="center"/>
            <w:hideMark/>
          </w:tcPr>
          <w:p w14:paraId="0CAF3535"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85.1</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3898EA3A"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87.5</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5D5E80D8"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101.1</w:t>
            </w:r>
          </w:p>
        </w:tc>
        <w:tc>
          <w:tcPr>
            <w:tcW w:w="992" w:type="dxa"/>
            <w:gridSpan w:val="2"/>
            <w:tcBorders>
              <w:top w:val="single" w:sz="4" w:space="0" w:color="auto"/>
              <w:left w:val="nil"/>
              <w:bottom w:val="single" w:sz="4" w:space="0" w:color="auto"/>
              <w:right w:val="nil"/>
            </w:tcBorders>
            <w:shd w:val="clear" w:color="000000" w:fill="FFFFFF"/>
            <w:noWrap/>
            <w:vAlign w:val="center"/>
            <w:hideMark/>
          </w:tcPr>
          <w:p w14:paraId="0D81CD24"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106.3</w:t>
            </w:r>
          </w:p>
        </w:tc>
      </w:tr>
      <w:tr w:rsidR="00C03C94" w:rsidRPr="00C03C94" w14:paraId="7A394769" w14:textId="77777777" w:rsidTr="00D11D77">
        <w:trPr>
          <w:trHeight w:val="330"/>
        </w:trPr>
        <w:tc>
          <w:tcPr>
            <w:tcW w:w="3686" w:type="dxa"/>
            <w:gridSpan w:val="3"/>
            <w:tcBorders>
              <w:top w:val="nil"/>
              <w:left w:val="nil"/>
              <w:bottom w:val="single" w:sz="8" w:space="0" w:color="auto"/>
              <w:right w:val="nil"/>
            </w:tcBorders>
            <w:shd w:val="clear" w:color="000000" w:fill="FFFFFF"/>
            <w:vAlign w:val="bottom"/>
            <w:hideMark/>
          </w:tcPr>
          <w:p w14:paraId="04289382"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Total Managed Expenditure (TME)</w:t>
            </w:r>
          </w:p>
        </w:tc>
        <w:tc>
          <w:tcPr>
            <w:tcW w:w="992" w:type="dxa"/>
            <w:gridSpan w:val="2"/>
            <w:tcBorders>
              <w:top w:val="nil"/>
              <w:left w:val="nil"/>
              <w:bottom w:val="single" w:sz="8" w:space="0" w:color="auto"/>
              <w:right w:val="nil"/>
            </w:tcBorders>
            <w:shd w:val="clear" w:color="000000" w:fill="FFFFFF"/>
            <w:noWrap/>
            <w:vAlign w:val="center"/>
            <w:hideMark/>
          </w:tcPr>
          <w:p w14:paraId="23AFA584"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778.8</w:t>
            </w:r>
          </w:p>
        </w:tc>
        <w:tc>
          <w:tcPr>
            <w:tcW w:w="992" w:type="dxa"/>
            <w:gridSpan w:val="2"/>
            <w:tcBorders>
              <w:top w:val="nil"/>
              <w:left w:val="nil"/>
              <w:bottom w:val="single" w:sz="8" w:space="0" w:color="auto"/>
              <w:right w:val="nil"/>
            </w:tcBorders>
            <w:shd w:val="clear" w:color="000000" w:fill="FFFFFF"/>
            <w:noWrap/>
            <w:vAlign w:val="center"/>
            <w:hideMark/>
          </w:tcPr>
          <w:p w14:paraId="246D70C7"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797.0</w:t>
            </w:r>
          </w:p>
        </w:tc>
        <w:tc>
          <w:tcPr>
            <w:tcW w:w="993" w:type="dxa"/>
            <w:gridSpan w:val="2"/>
            <w:tcBorders>
              <w:top w:val="nil"/>
              <w:left w:val="nil"/>
              <w:bottom w:val="single" w:sz="8" w:space="0" w:color="auto"/>
              <w:right w:val="nil"/>
            </w:tcBorders>
            <w:shd w:val="clear" w:color="000000" w:fill="FFFFFF"/>
            <w:noWrap/>
            <w:vAlign w:val="center"/>
            <w:hideMark/>
          </w:tcPr>
          <w:p w14:paraId="158C4223"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814.5</w:t>
            </w:r>
          </w:p>
        </w:tc>
        <w:tc>
          <w:tcPr>
            <w:tcW w:w="992" w:type="dxa"/>
            <w:gridSpan w:val="2"/>
            <w:tcBorders>
              <w:top w:val="nil"/>
              <w:left w:val="nil"/>
              <w:bottom w:val="single" w:sz="8" w:space="0" w:color="auto"/>
              <w:right w:val="nil"/>
            </w:tcBorders>
            <w:shd w:val="clear" w:color="000000" w:fill="FFFFFF"/>
            <w:noWrap/>
            <w:vAlign w:val="center"/>
            <w:hideMark/>
          </w:tcPr>
          <w:p w14:paraId="40D1E2E6"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823.7</w:t>
            </w:r>
          </w:p>
        </w:tc>
        <w:tc>
          <w:tcPr>
            <w:tcW w:w="992" w:type="dxa"/>
            <w:gridSpan w:val="2"/>
            <w:tcBorders>
              <w:top w:val="nil"/>
              <w:left w:val="nil"/>
              <w:bottom w:val="single" w:sz="8" w:space="0" w:color="auto"/>
              <w:right w:val="nil"/>
            </w:tcBorders>
            <w:shd w:val="clear" w:color="000000" w:fill="FFFFFF"/>
            <w:noWrap/>
            <w:vAlign w:val="center"/>
            <w:hideMark/>
          </w:tcPr>
          <w:p w14:paraId="4EFA7582"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855.6</w:t>
            </w:r>
          </w:p>
        </w:tc>
        <w:tc>
          <w:tcPr>
            <w:tcW w:w="992" w:type="dxa"/>
            <w:gridSpan w:val="2"/>
            <w:tcBorders>
              <w:top w:val="nil"/>
              <w:left w:val="nil"/>
              <w:bottom w:val="single" w:sz="8" w:space="0" w:color="auto"/>
              <w:right w:val="nil"/>
            </w:tcBorders>
            <w:shd w:val="clear" w:color="000000" w:fill="FFFFFF"/>
            <w:noWrap/>
            <w:vAlign w:val="center"/>
            <w:hideMark/>
          </w:tcPr>
          <w:p w14:paraId="797AE1E7"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886.4</w:t>
            </w:r>
          </w:p>
        </w:tc>
      </w:tr>
      <w:tr w:rsidR="00C03C94" w:rsidRPr="00C03C94" w14:paraId="0CEE03E7" w14:textId="77777777" w:rsidTr="00D11D77">
        <w:trPr>
          <w:trHeight w:val="330"/>
        </w:trPr>
        <w:tc>
          <w:tcPr>
            <w:tcW w:w="3686" w:type="dxa"/>
            <w:gridSpan w:val="3"/>
            <w:tcBorders>
              <w:top w:val="single" w:sz="4" w:space="0" w:color="auto"/>
              <w:left w:val="nil"/>
              <w:bottom w:val="single" w:sz="8" w:space="0" w:color="auto"/>
              <w:right w:val="nil"/>
            </w:tcBorders>
            <w:shd w:val="clear" w:color="000000" w:fill="FFFFFF"/>
            <w:vAlign w:val="bottom"/>
            <w:hideMark/>
          </w:tcPr>
          <w:p w14:paraId="027587F3" w14:textId="77777777" w:rsidR="00D11D77" w:rsidRPr="00C03C94" w:rsidRDefault="00D11D77" w:rsidP="0047656C">
            <w:pPr>
              <w:spacing w:line="240" w:lineRule="auto"/>
              <w:rPr>
                <w:rFonts w:ascii="Calibri" w:hAnsi="Calibri" w:cs="Arial"/>
                <w:i/>
                <w:iCs/>
                <w:lang w:eastAsia="en-GB"/>
              </w:rPr>
            </w:pPr>
            <w:r w:rsidRPr="00C03C94">
              <w:rPr>
                <w:rFonts w:ascii="Calibri" w:hAnsi="Calibri" w:cs="Arial"/>
                <w:i/>
                <w:iCs/>
                <w:lang w:eastAsia="en-GB"/>
              </w:rPr>
              <w:t>TME % of GDP</w:t>
            </w:r>
          </w:p>
        </w:tc>
        <w:tc>
          <w:tcPr>
            <w:tcW w:w="992" w:type="dxa"/>
            <w:gridSpan w:val="2"/>
            <w:tcBorders>
              <w:top w:val="single" w:sz="4" w:space="0" w:color="auto"/>
              <w:left w:val="nil"/>
              <w:bottom w:val="single" w:sz="8" w:space="0" w:color="auto"/>
              <w:right w:val="nil"/>
            </w:tcBorders>
            <w:shd w:val="clear" w:color="000000" w:fill="FFFFFF"/>
            <w:vAlign w:val="bottom"/>
            <w:hideMark/>
          </w:tcPr>
          <w:p w14:paraId="71ED320B"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39.9%</w:t>
            </w:r>
          </w:p>
        </w:tc>
        <w:tc>
          <w:tcPr>
            <w:tcW w:w="992" w:type="dxa"/>
            <w:gridSpan w:val="2"/>
            <w:tcBorders>
              <w:top w:val="single" w:sz="4" w:space="0" w:color="auto"/>
              <w:left w:val="nil"/>
              <w:bottom w:val="single" w:sz="8" w:space="0" w:color="auto"/>
              <w:right w:val="nil"/>
            </w:tcBorders>
            <w:shd w:val="clear" w:color="000000" w:fill="FFFFFF"/>
            <w:vAlign w:val="bottom"/>
            <w:hideMark/>
          </w:tcPr>
          <w:p w14:paraId="33A5B5C1"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39.8%</w:t>
            </w:r>
          </w:p>
        </w:tc>
        <w:tc>
          <w:tcPr>
            <w:tcW w:w="993" w:type="dxa"/>
            <w:gridSpan w:val="2"/>
            <w:tcBorders>
              <w:top w:val="single" w:sz="4" w:space="0" w:color="auto"/>
              <w:left w:val="nil"/>
              <w:bottom w:val="single" w:sz="8" w:space="0" w:color="auto"/>
              <w:right w:val="nil"/>
            </w:tcBorders>
            <w:shd w:val="clear" w:color="000000" w:fill="FFFFFF"/>
            <w:vAlign w:val="bottom"/>
            <w:hideMark/>
          </w:tcPr>
          <w:p w14:paraId="773A6AED"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39.1%</w:t>
            </w:r>
          </w:p>
        </w:tc>
        <w:tc>
          <w:tcPr>
            <w:tcW w:w="992" w:type="dxa"/>
            <w:gridSpan w:val="2"/>
            <w:tcBorders>
              <w:top w:val="single" w:sz="4" w:space="0" w:color="auto"/>
              <w:left w:val="nil"/>
              <w:bottom w:val="single" w:sz="8" w:space="0" w:color="auto"/>
              <w:right w:val="nil"/>
            </w:tcBorders>
            <w:shd w:val="clear" w:color="000000" w:fill="FFFFFF"/>
            <w:vAlign w:val="bottom"/>
            <w:hideMark/>
          </w:tcPr>
          <w:p w14:paraId="172500AF"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38.0%</w:t>
            </w:r>
          </w:p>
        </w:tc>
        <w:tc>
          <w:tcPr>
            <w:tcW w:w="992" w:type="dxa"/>
            <w:gridSpan w:val="2"/>
            <w:tcBorders>
              <w:top w:val="single" w:sz="4" w:space="0" w:color="auto"/>
              <w:left w:val="nil"/>
              <w:bottom w:val="single" w:sz="8" w:space="0" w:color="auto"/>
              <w:right w:val="nil"/>
            </w:tcBorders>
            <w:shd w:val="clear" w:color="000000" w:fill="FFFFFF"/>
            <w:vAlign w:val="bottom"/>
            <w:hideMark/>
          </w:tcPr>
          <w:p w14:paraId="0197F359"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38.0%</w:t>
            </w:r>
          </w:p>
        </w:tc>
        <w:tc>
          <w:tcPr>
            <w:tcW w:w="992" w:type="dxa"/>
            <w:gridSpan w:val="2"/>
            <w:tcBorders>
              <w:top w:val="single" w:sz="4" w:space="0" w:color="auto"/>
              <w:left w:val="nil"/>
              <w:bottom w:val="single" w:sz="8" w:space="0" w:color="auto"/>
              <w:right w:val="nil"/>
            </w:tcBorders>
            <w:shd w:val="clear" w:color="000000" w:fill="FFFFFF"/>
            <w:vAlign w:val="bottom"/>
            <w:hideMark/>
          </w:tcPr>
          <w:p w14:paraId="3D5F5288"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37.8%</w:t>
            </w:r>
          </w:p>
        </w:tc>
      </w:tr>
      <w:tr w:rsidR="00C03C94" w:rsidRPr="00C03C94" w14:paraId="1F59A48B" w14:textId="77777777" w:rsidTr="00D11D77">
        <w:trPr>
          <w:gridAfter w:val="1"/>
          <w:wAfter w:w="141" w:type="dxa"/>
          <w:trHeight w:val="325"/>
        </w:trPr>
        <w:tc>
          <w:tcPr>
            <w:tcW w:w="2578" w:type="dxa"/>
            <w:tcBorders>
              <w:top w:val="nil"/>
              <w:left w:val="nil"/>
              <w:bottom w:val="nil"/>
              <w:right w:val="nil"/>
            </w:tcBorders>
            <w:shd w:val="clear" w:color="000000" w:fill="D9D9D9"/>
            <w:noWrap/>
            <w:vAlign w:val="bottom"/>
            <w:hideMark/>
          </w:tcPr>
          <w:p w14:paraId="66EA6B5A" w14:textId="77777777" w:rsidR="00D11D77" w:rsidRPr="00C03C94" w:rsidRDefault="00D11D77" w:rsidP="0047656C">
            <w:pPr>
              <w:spacing w:line="240" w:lineRule="auto"/>
              <w:rPr>
                <w:rFonts w:ascii="Arial" w:hAnsi="Arial" w:cs="Arial"/>
                <w:lang w:eastAsia="en-GB"/>
              </w:rPr>
            </w:pPr>
            <w:r w:rsidRPr="00C03C94">
              <w:rPr>
                <w:rFonts w:ascii="Arial" w:hAnsi="Arial" w:cs="Arial"/>
                <w:lang w:eastAsia="en-GB"/>
              </w:rPr>
              <w:t> </w:t>
            </w:r>
          </w:p>
        </w:tc>
        <w:tc>
          <w:tcPr>
            <w:tcW w:w="953" w:type="dxa"/>
            <w:tcBorders>
              <w:top w:val="nil"/>
              <w:left w:val="nil"/>
              <w:bottom w:val="nil"/>
              <w:right w:val="nil"/>
            </w:tcBorders>
            <w:shd w:val="clear" w:color="000000" w:fill="D9D9D9"/>
            <w:noWrap/>
            <w:vAlign w:val="bottom"/>
            <w:hideMark/>
          </w:tcPr>
          <w:p w14:paraId="4A2536CF"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2015-16</w:t>
            </w:r>
          </w:p>
        </w:tc>
        <w:tc>
          <w:tcPr>
            <w:tcW w:w="961" w:type="dxa"/>
            <w:gridSpan w:val="2"/>
            <w:tcBorders>
              <w:top w:val="nil"/>
              <w:left w:val="nil"/>
              <w:bottom w:val="nil"/>
              <w:right w:val="nil"/>
            </w:tcBorders>
            <w:shd w:val="clear" w:color="000000" w:fill="D9D9D9"/>
            <w:noWrap/>
            <w:vAlign w:val="bottom"/>
            <w:hideMark/>
          </w:tcPr>
          <w:p w14:paraId="10B4783F"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2016-17</w:t>
            </w:r>
          </w:p>
        </w:tc>
        <w:tc>
          <w:tcPr>
            <w:tcW w:w="956" w:type="dxa"/>
            <w:gridSpan w:val="2"/>
            <w:tcBorders>
              <w:top w:val="nil"/>
              <w:left w:val="nil"/>
              <w:bottom w:val="nil"/>
              <w:right w:val="nil"/>
            </w:tcBorders>
            <w:shd w:val="clear" w:color="000000" w:fill="D9D9D9"/>
            <w:noWrap/>
            <w:vAlign w:val="bottom"/>
            <w:hideMark/>
          </w:tcPr>
          <w:p w14:paraId="7675C294"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2017-18</w:t>
            </w:r>
          </w:p>
        </w:tc>
        <w:tc>
          <w:tcPr>
            <w:tcW w:w="1018" w:type="dxa"/>
            <w:gridSpan w:val="2"/>
            <w:tcBorders>
              <w:top w:val="nil"/>
              <w:left w:val="nil"/>
              <w:bottom w:val="nil"/>
              <w:right w:val="nil"/>
            </w:tcBorders>
            <w:shd w:val="clear" w:color="000000" w:fill="D9D9D9"/>
            <w:noWrap/>
            <w:vAlign w:val="bottom"/>
            <w:hideMark/>
          </w:tcPr>
          <w:p w14:paraId="1EB6A2BA"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2018-19</w:t>
            </w:r>
          </w:p>
        </w:tc>
        <w:tc>
          <w:tcPr>
            <w:tcW w:w="970" w:type="dxa"/>
            <w:gridSpan w:val="2"/>
            <w:tcBorders>
              <w:top w:val="nil"/>
              <w:left w:val="nil"/>
              <w:bottom w:val="nil"/>
              <w:right w:val="nil"/>
            </w:tcBorders>
            <w:shd w:val="clear" w:color="000000" w:fill="D9D9D9"/>
            <w:noWrap/>
            <w:vAlign w:val="bottom"/>
            <w:hideMark/>
          </w:tcPr>
          <w:p w14:paraId="5F8D6FE4"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2019-20</w:t>
            </w:r>
          </w:p>
        </w:tc>
        <w:tc>
          <w:tcPr>
            <w:tcW w:w="1069" w:type="dxa"/>
            <w:gridSpan w:val="2"/>
            <w:tcBorders>
              <w:top w:val="nil"/>
              <w:left w:val="nil"/>
              <w:bottom w:val="nil"/>
              <w:right w:val="nil"/>
            </w:tcBorders>
            <w:shd w:val="clear" w:color="000000" w:fill="D9D9D9"/>
            <w:noWrap/>
            <w:vAlign w:val="bottom"/>
            <w:hideMark/>
          </w:tcPr>
          <w:p w14:paraId="500A721E"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2020-21</w:t>
            </w:r>
          </w:p>
        </w:tc>
        <w:tc>
          <w:tcPr>
            <w:tcW w:w="993" w:type="dxa"/>
            <w:gridSpan w:val="2"/>
            <w:tcBorders>
              <w:top w:val="nil"/>
              <w:left w:val="nil"/>
              <w:bottom w:val="nil"/>
              <w:right w:val="nil"/>
            </w:tcBorders>
            <w:shd w:val="clear" w:color="000000" w:fill="D9D9D9"/>
            <w:noWrap/>
            <w:vAlign w:val="bottom"/>
            <w:hideMark/>
          </w:tcPr>
          <w:p w14:paraId="3BC8BF24"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2021-22</w:t>
            </w:r>
          </w:p>
        </w:tc>
      </w:tr>
      <w:tr w:rsidR="00C03C94" w:rsidRPr="00C03C94" w14:paraId="54F4954A" w14:textId="77777777" w:rsidTr="00D11D77">
        <w:trPr>
          <w:gridAfter w:val="1"/>
          <w:wAfter w:w="141" w:type="dxa"/>
          <w:trHeight w:val="341"/>
        </w:trPr>
        <w:tc>
          <w:tcPr>
            <w:tcW w:w="2578" w:type="dxa"/>
            <w:tcBorders>
              <w:top w:val="nil"/>
              <w:left w:val="nil"/>
              <w:bottom w:val="single" w:sz="8" w:space="0" w:color="auto"/>
              <w:right w:val="nil"/>
            </w:tcBorders>
            <w:shd w:val="clear" w:color="000000" w:fill="D9D9D9"/>
            <w:noWrap/>
            <w:vAlign w:val="bottom"/>
            <w:hideMark/>
          </w:tcPr>
          <w:p w14:paraId="4D0A2184" w14:textId="77777777" w:rsidR="00D11D77" w:rsidRPr="00C03C94" w:rsidRDefault="00D11D77" w:rsidP="0047656C">
            <w:pPr>
              <w:spacing w:line="240" w:lineRule="auto"/>
              <w:rPr>
                <w:rFonts w:ascii="Arial" w:hAnsi="Arial" w:cs="Arial"/>
                <w:lang w:eastAsia="en-GB"/>
              </w:rPr>
            </w:pPr>
            <w:r w:rsidRPr="00C03C94">
              <w:rPr>
                <w:rFonts w:ascii="Arial" w:hAnsi="Arial" w:cs="Arial"/>
                <w:lang w:eastAsia="en-GB"/>
              </w:rPr>
              <w:t> </w:t>
            </w:r>
          </w:p>
        </w:tc>
        <w:tc>
          <w:tcPr>
            <w:tcW w:w="953" w:type="dxa"/>
            <w:tcBorders>
              <w:top w:val="nil"/>
              <w:left w:val="nil"/>
              <w:bottom w:val="single" w:sz="8" w:space="0" w:color="auto"/>
              <w:right w:val="nil"/>
            </w:tcBorders>
            <w:shd w:val="clear" w:color="000000" w:fill="D9D9D9"/>
            <w:noWrap/>
            <w:vAlign w:val="bottom"/>
            <w:hideMark/>
          </w:tcPr>
          <w:p w14:paraId="18B4A790" w14:textId="77777777" w:rsidR="00D11D77" w:rsidRPr="00C03C94" w:rsidRDefault="00D11D77" w:rsidP="0047656C">
            <w:pPr>
              <w:spacing w:line="240" w:lineRule="auto"/>
              <w:rPr>
                <w:rFonts w:ascii="Arial" w:hAnsi="Arial" w:cs="Arial"/>
                <w:lang w:eastAsia="en-GB"/>
              </w:rPr>
            </w:pPr>
            <w:r w:rsidRPr="00C03C94">
              <w:rPr>
                <w:rFonts w:ascii="Arial" w:hAnsi="Arial" w:cs="Arial"/>
                <w:lang w:eastAsia="en-GB"/>
              </w:rPr>
              <w:t> </w:t>
            </w:r>
          </w:p>
        </w:tc>
        <w:tc>
          <w:tcPr>
            <w:tcW w:w="4974" w:type="dxa"/>
            <w:gridSpan w:val="10"/>
            <w:tcBorders>
              <w:top w:val="nil"/>
              <w:left w:val="nil"/>
              <w:bottom w:val="single" w:sz="8" w:space="0" w:color="auto"/>
              <w:right w:val="nil"/>
            </w:tcBorders>
            <w:shd w:val="clear" w:color="000000" w:fill="D9D9D9"/>
            <w:noWrap/>
            <w:vAlign w:val="bottom"/>
            <w:hideMark/>
          </w:tcPr>
          <w:p w14:paraId="658CF449" w14:textId="77777777" w:rsidR="00D11D77" w:rsidRPr="00C03C94" w:rsidRDefault="00D11D77" w:rsidP="0047656C">
            <w:pPr>
              <w:spacing w:line="240" w:lineRule="auto"/>
              <w:jc w:val="center"/>
              <w:rPr>
                <w:rFonts w:ascii="Calibri" w:hAnsi="Calibri" w:cs="Arial"/>
                <w:lang w:eastAsia="en-GB"/>
              </w:rPr>
            </w:pPr>
            <w:r w:rsidRPr="00C03C94">
              <w:rPr>
                <w:rFonts w:ascii="Calibri" w:hAnsi="Calibri" w:cs="Arial"/>
                <w:lang w:eastAsia="en-GB"/>
              </w:rPr>
              <w:t>£ billion</w:t>
            </w:r>
          </w:p>
        </w:tc>
        <w:tc>
          <w:tcPr>
            <w:tcW w:w="993" w:type="dxa"/>
            <w:gridSpan w:val="2"/>
            <w:tcBorders>
              <w:top w:val="nil"/>
              <w:left w:val="nil"/>
              <w:bottom w:val="single" w:sz="8" w:space="0" w:color="auto"/>
              <w:right w:val="nil"/>
            </w:tcBorders>
            <w:shd w:val="clear" w:color="000000" w:fill="D9D9D9"/>
            <w:noWrap/>
            <w:vAlign w:val="bottom"/>
            <w:hideMark/>
          </w:tcPr>
          <w:p w14:paraId="6B847E77" w14:textId="77777777" w:rsidR="00D11D77" w:rsidRPr="00C03C94" w:rsidRDefault="00D11D77" w:rsidP="0047656C">
            <w:pPr>
              <w:spacing w:line="240" w:lineRule="auto"/>
              <w:rPr>
                <w:rFonts w:ascii="Arial" w:hAnsi="Arial" w:cs="Arial"/>
                <w:lang w:eastAsia="en-GB"/>
              </w:rPr>
            </w:pPr>
            <w:r w:rsidRPr="00C03C94">
              <w:rPr>
                <w:rFonts w:ascii="Arial" w:hAnsi="Arial" w:cs="Arial"/>
                <w:lang w:eastAsia="en-GB"/>
              </w:rPr>
              <w:t> </w:t>
            </w:r>
          </w:p>
        </w:tc>
      </w:tr>
      <w:tr w:rsidR="00C03C94" w:rsidRPr="00C03C94" w14:paraId="4238CB99" w14:textId="77777777" w:rsidTr="00D11D77">
        <w:trPr>
          <w:gridAfter w:val="1"/>
          <w:wAfter w:w="141" w:type="dxa"/>
          <w:trHeight w:val="325"/>
        </w:trPr>
        <w:tc>
          <w:tcPr>
            <w:tcW w:w="2578" w:type="dxa"/>
            <w:tcBorders>
              <w:top w:val="nil"/>
              <w:left w:val="nil"/>
              <w:bottom w:val="single" w:sz="4" w:space="0" w:color="auto"/>
              <w:right w:val="nil"/>
            </w:tcBorders>
            <w:shd w:val="clear" w:color="000000" w:fill="FFFFFF"/>
            <w:vAlign w:val="bottom"/>
            <w:hideMark/>
          </w:tcPr>
          <w:p w14:paraId="46100DAD"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Budget 2016 Borrowing / (Surplus) Forecast</w:t>
            </w:r>
          </w:p>
        </w:tc>
        <w:tc>
          <w:tcPr>
            <w:tcW w:w="953" w:type="dxa"/>
            <w:tcBorders>
              <w:top w:val="nil"/>
              <w:left w:val="nil"/>
              <w:bottom w:val="single" w:sz="4" w:space="0" w:color="auto"/>
              <w:right w:val="nil"/>
            </w:tcBorders>
            <w:shd w:val="clear" w:color="000000" w:fill="FFFFFF"/>
            <w:noWrap/>
            <w:vAlign w:val="center"/>
            <w:hideMark/>
          </w:tcPr>
          <w:p w14:paraId="70E97EDC"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72.2</w:t>
            </w:r>
          </w:p>
        </w:tc>
        <w:tc>
          <w:tcPr>
            <w:tcW w:w="961" w:type="dxa"/>
            <w:gridSpan w:val="2"/>
            <w:tcBorders>
              <w:top w:val="nil"/>
              <w:left w:val="nil"/>
              <w:bottom w:val="single" w:sz="4" w:space="0" w:color="auto"/>
              <w:right w:val="nil"/>
            </w:tcBorders>
            <w:shd w:val="clear" w:color="000000" w:fill="FFFFFF"/>
            <w:noWrap/>
            <w:vAlign w:val="center"/>
            <w:hideMark/>
          </w:tcPr>
          <w:p w14:paraId="48B4B608"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55.5</w:t>
            </w:r>
          </w:p>
        </w:tc>
        <w:tc>
          <w:tcPr>
            <w:tcW w:w="956" w:type="dxa"/>
            <w:gridSpan w:val="2"/>
            <w:tcBorders>
              <w:top w:val="nil"/>
              <w:left w:val="nil"/>
              <w:bottom w:val="single" w:sz="4" w:space="0" w:color="auto"/>
              <w:right w:val="nil"/>
            </w:tcBorders>
            <w:shd w:val="clear" w:color="000000" w:fill="FFFFFF"/>
            <w:noWrap/>
            <w:vAlign w:val="center"/>
            <w:hideMark/>
          </w:tcPr>
          <w:p w14:paraId="57B83156"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38.8</w:t>
            </w:r>
          </w:p>
        </w:tc>
        <w:tc>
          <w:tcPr>
            <w:tcW w:w="1018" w:type="dxa"/>
            <w:gridSpan w:val="2"/>
            <w:tcBorders>
              <w:top w:val="nil"/>
              <w:left w:val="nil"/>
              <w:bottom w:val="single" w:sz="4" w:space="0" w:color="auto"/>
              <w:right w:val="nil"/>
            </w:tcBorders>
            <w:shd w:val="clear" w:color="000000" w:fill="FFFFFF"/>
            <w:noWrap/>
            <w:vAlign w:val="center"/>
            <w:hideMark/>
          </w:tcPr>
          <w:p w14:paraId="5049A7AD"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21.4</w:t>
            </w:r>
          </w:p>
        </w:tc>
        <w:tc>
          <w:tcPr>
            <w:tcW w:w="970" w:type="dxa"/>
            <w:gridSpan w:val="2"/>
            <w:tcBorders>
              <w:top w:val="nil"/>
              <w:left w:val="nil"/>
              <w:bottom w:val="single" w:sz="4" w:space="0" w:color="auto"/>
              <w:right w:val="nil"/>
            </w:tcBorders>
            <w:shd w:val="clear" w:color="000000" w:fill="FFFFFF"/>
            <w:noWrap/>
            <w:vAlign w:val="center"/>
            <w:hideMark/>
          </w:tcPr>
          <w:p w14:paraId="34B28638"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-10.4</w:t>
            </w:r>
          </w:p>
        </w:tc>
        <w:tc>
          <w:tcPr>
            <w:tcW w:w="1069" w:type="dxa"/>
            <w:gridSpan w:val="2"/>
            <w:tcBorders>
              <w:top w:val="nil"/>
              <w:left w:val="nil"/>
              <w:bottom w:val="single" w:sz="4" w:space="0" w:color="auto"/>
              <w:right w:val="nil"/>
            </w:tcBorders>
            <w:shd w:val="clear" w:color="000000" w:fill="FFFFFF"/>
            <w:noWrap/>
            <w:vAlign w:val="center"/>
            <w:hideMark/>
          </w:tcPr>
          <w:p w14:paraId="3FD3DB2D"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-11.0</w:t>
            </w:r>
          </w:p>
        </w:tc>
        <w:tc>
          <w:tcPr>
            <w:tcW w:w="993" w:type="dxa"/>
            <w:gridSpan w:val="2"/>
            <w:tcBorders>
              <w:top w:val="nil"/>
              <w:left w:val="nil"/>
              <w:bottom w:val="single" w:sz="4" w:space="0" w:color="auto"/>
              <w:right w:val="nil"/>
            </w:tcBorders>
            <w:shd w:val="clear" w:color="000000" w:fill="FFFFFF"/>
            <w:noWrap/>
            <w:vAlign w:val="center"/>
            <w:hideMark/>
          </w:tcPr>
          <w:p w14:paraId="3D8C161A"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n/a</w:t>
            </w:r>
          </w:p>
        </w:tc>
      </w:tr>
      <w:tr w:rsidR="00C03C94" w:rsidRPr="00C03C94" w14:paraId="4F16A820" w14:textId="77777777" w:rsidTr="00D11D77">
        <w:trPr>
          <w:gridAfter w:val="1"/>
          <w:wAfter w:w="141" w:type="dxa"/>
          <w:trHeight w:val="325"/>
        </w:trPr>
        <w:tc>
          <w:tcPr>
            <w:tcW w:w="2578" w:type="dxa"/>
            <w:tcBorders>
              <w:top w:val="nil"/>
              <w:left w:val="nil"/>
              <w:bottom w:val="nil"/>
              <w:right w:val="nil"/>
            </w:tcBorders>
            <w:shd w:val="clear" w:color="000000" w:fill="FFFFFF"/>
            <w:vAlign w:val="bottom"/>
            <w:hideMark/>
          </w:tcPr>
          <w:p w14:paraId="17E7727E"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Classification changes</w:t>
            </w:r>
          </w:p>
        </w:tc>
        <w:tc>
          <w:tcPr>
            <w:tcW w:w="953" w:type="dxa"/>
            <w:tcBorders>
              <w:top w:val="nil"/>
              <w:left w:val="nil"/>
              <w:bottom w:val="nil"/>
              <w:right w:val="nil"/>
            </w:tcBorders>
            <w:shd w:val="clear" w:color="000000" w:fill="FFFFFF"/>
            <w:noWrap/>
            <w:vAlign w:val="center"/>
            <w:hideMark/>
          </w:tcPr>
          <w:p w14:paraId="2520114F"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n/a</w:t>
            </w:r>
          </w:p>
        </w:tc>
        <w:tc>
          <w:tcPr>
            <w:tcW w:w="961" w:type="dxa"/>
            <w:gridSpan w:val="2"/>
            <w:tcBorders>
              <w:top w:val="nil"/>
              <w:left w:val="nil"/>
              <w:bottom w:val="nil"/>
              <w:right w:val="nil"/>
            </w:tcBorders>
            <w:shd w:val="clear" w:color="000000" w:fill="FFFFFF"/>
            <w:noWrap/>
            <w:vAlign w:val="center"/>
            <w:hideMark/>
          </w:tcPr>
          <w:p w14:paraId="5A44CCC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0.5</w:t>
            </w:r>
          </w:p>
        </w:tc>
        <w:tc>
          <w:tcPr>
            <w:tcW w:w="956" w:type="dxa"/>
            <w:gridSpan w:val="2"/>
            <w:tcBorders>
              <w:top w:val="nil"/>
              <w:left w:val="nil"/>
              <w:bottom w:val="nil"/>
              <w:right w:val="nil"/>
            </w:tcBorders>
            <w:shd w:val="clear" w:color="000000" w:fill="FFFFFF"/>
            <w:noWrap/>
            <w:vAlign w:val="center"/>
            <w:hideMark/>
          </w:tcPr>
          <w:p w14:paraId="1C6FE5C7"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0.4</w:t>
            </w:r>
          </w:p>
        </w:tc>
        <w:tc>
          <w:tcPr>
            <w:tcW w:w="1018" w:type="dxa"/>
            <w:gridSpan w:val="2"/>
            <w:tcBorders>
              <w:top w:val="nil"/>
              <w:left w:val="nil"/>
              <w:bottom w:val="nil"/>
              <w:right w:val="nil"/>
            </w:tcBorders>
            <w:shd w:val="clear" w:color="000000" w:fill="FFFFFF"/>
            <w:noWrap/>
            <w:vAlign w:val="center"/>
            <w:hideMark/>
          </w:tcPr>
          <w:p w14:paraId="0BCEB8B8"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0.5</w:t>
            </w:r>
          </w:p>
        </w:tc>
        <w:tc>
          <w:tcPr>
            <w:tcW w:w="970" w:type="dxa"/>
            <w:gridSpan w:val="2"/>
            <w:tcBorders>
              <w:top w:val="nil"/>
              <w:left w:val="nil"/>
              <w:bottom w:val="nil"/>
              <w:right w:val="nil"/>
            </w:tcBorders>
            <w:shd w:val="clear" w:color="000000" w:fill="FFFFFF"/>
            <w:noWrap/>
            <w:vAlign w:val="center"/>
            <w:hideMark/>
          </w:tcPr>
          <w:p w14:paraId="149131E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6.4</w:t>
            </w:r>
          </w:p>
        </w:tc>
        <w:tc>
          <w:tcPr>
            <w:tcW w:w="1069" w:type="dxa"/>
            <w:gridSpan w:val="2"/>
            <w:tcBorders>
              <w:top w:val="nil"/>
              <w:left w:val="nil"/>
              <w:bottom w:val="nil"/>
              <w:right w:val="nil"/>
            </w:tcBorders>
            <w:shd w:val="clear" w:color="000000" w:fill="FFFFFF"/>
            <w:noWrap/>
            <w:vAlign w:val="center"/>
            <w:hideMark/>
          </w:tcPr>
          <w:p w14:paraId="21333FB6"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4.1</w:t>
            </w:r>
          </w:p>
        </w:tc>
        <w:tc>
          <w:tcPr>
            <w:tcW w:w="993" w:type="dxa"/>
            <w:gridSpan w:val="2"/>
            <w:tcBorders>
              <w:top w:val="nil"/>
              <w:left w:val="nil"/>
              <w:bottom w:val="nil"/>
              <w:right w:val="nil"/>
            </w:tcBorders>
            <w:shd w:val="clear" w:color="000000" w:fill="FFFFFF"/>
            <w:noWrap/>
            <w:vAlign w:val="center"/>
            <w:hideMark/>
          </w:tcPr>
          <w:p w14:paraId="461FDAB8"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n/a</w:t>
            </w:r>
          </w:p>
        </w:tc>
      </w:tr>
      <w:tr w:rsidR="00C03C94" w:rsidRPr="00C03C94" w14:paraId="2C555C07" w14:textId="77777777" w:rsidTr="00D11D77">
        <w:trPr>
          <w:gridAfter w:val="1"/>
          <w:wAfter w:w="141" w:type="dxa"/>
          <w:trHeight w:val="325"/>
        </w:trPr>
        <w:tc>
          <w:tcPr>
            <w:tcW w:w="2578" w:type="dxa"/>
            <w:tcBorders>
              <w:top w:val="single" w:sz="4" w:space="0" w:color="auto"/>
              <w:left w:val="nil"/>
              <w:bottom w:val="single" w:sz="4" w:space="0" w:color="auto"/>
              <w:right w:val="nil"/>
            </w:tcBorders>
            <w:shd w:val="clear" w:color="000000" w:fill="FFFFFF"/>
            <w:vAlign w:val="bottom"/>
            <w:hideMark/>
          </w:tcPr>
          <w:p w14:paraId="333CA0F4"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Forecast Changes</w:t>
            </w:r>
          </w:p>
        </w:tc>
        <w:tc>
          <w:tcPr>
            <w:tcW w:w="953" w:type="dxa"/>
            <w:tcBorders>
              <w:top w:val="single" w:sz="4" w:space="0" w:color="auto"/>
              <w:left w:val="nil"/>
              <w:bottom w:val="single" w:sz="4" w:space="0" w:color="auto"/>
              <w:right w:val="nil"/>
            </w:tcBorders>
            <w:shd w:val="clear" w:color="000000" w:fill="FFFFFF"/>
            <w:noWrap/>
            <w:vAlign w:val="center"/>
            <w:hideMark/>
          </w:tcPr>
          <w:p w14:paraId="37F77580"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3.9</w:t>
            </w:r>
          </w:p>
        </w:tc>
        <w:tc>
          <w:tcPr>
            <w:tcW w:w="961" w:type="dxa"/>
            <w:gridSpan w:val="2"/>
            <w:tcBorders>
              <w:top w:val="single" w:sz="4" w:space="0" w:color="auto"/>
              <w:left w:val="nil"/>
              <w:bottom w:val="single" w:sz="4" w:space="0" w:color="auto"/>
              <w:right w:val="nil"/>
            </w:tcBorders>
            <w:shd w:val="clear" w:color="000000" w:fill="FFFFFF"/>
            <w:noWrap/>
            <w:vAlign w:val="center"/>
            <w:hideMark/>
          </w:tcPr>
          <w:p w14:paraId="2B63869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11.2</w:t>
            </w:r>
          </w:p>
        </w:tc>
        <w:tc>
          <w:tcPr>
            <w:tcW w:w="956" w:type="dxa"/>
            <w:gridSpan w:val="2"/>
            <w:tcBorders>
              <w:top w:val="single" w:sz="4" w:space="0" w:color="auto"/>
              <w:left w:val="nil"/>
              <w:bottom w:val="single" w:sz="4" w:space="0" w:color="auto"/>
              <w:right w:val="nil"/>
            </w:tcBorders>
            <w:shd w:val="clear" w:color="000000" w:fill="FFFFFF"/>
            <w:noWrap/>
            <w:vAlign w:val="center"/>
            <w:hideMark/>
          </w:tcPr>
          <w:p w14:paraId="242E4510"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17.2</w:t>
            </w:r>
          </w:p>
        </w:tc>
        <w:tc>
          <w:tcPr>
            <w:tcW w:w="1018" w:type="dxa"/>
            <w:gridSpan w:val="2"/>
            <w:tcBorders>
              <w:top w:val="single" w:sz="4" w:space="0" w:color="auto"/>
              <w:left w:val="nil"/>
              <w:bottom w:val="single" w:sz="4" w:space="0" w:color="auto"/>
              <w:right w:val="nil"/>
            </w:tcBorders>
            <w:shd w:val="clear" w:color="000000" w:fill="FFFFFF"/>
            <w:noWrap/>
            <w:vAlign w:val="center"/>
            <w:hideMark/>
          </w:tcPr>
          <w:p w14:paraId="1E1C4F3B"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20.1</w:t>
            </w:r>
          </w:p>
        </w:tc>
        <w:tc>
          <w:tcPr>
            <w:tcW w:w="970" w:type="dxa"/>
            <w:gridSpan w:val="2"/>
            <w:tcBorders>
              <w:top w:val="single" w:sz="4" w:space="0" w:color="auto"/>
              <w:left w:val="nil"/>
              <w:bottom w:val="single" w:sz="4" w:space="0" w:color="auto"/>
              <w:right w:val="nil"/>
            </w:tcBorders>
            <w:shd w:val="clear" w:color="000000" w:fill="FFFFFF"/>
            <w:noWrap/>
            <w:vAlign w:val="center"/>
            <w:hideMark/>
          </w:tcPr>
          <w:p w14:paraId="3F184ACC"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17.7</w:t>
            </w:r>
          </w:p>
        </w:tc>
        <w:tc>
          <w:tcPr>
            <w:tcW w:w="1069" w:type="dxa"/>
            <w:gridSpan w:val="2"/>
            <w:tcBorders>
              <w:top w:val="single" w:sz="4" w:space="0" w:color="auto"/>
              <w:left w:val="nil"/>
              <w:bottom w:val="single" w:sz="4" w:space="0" w:color="auto"/>
              <w:right w:val="nil"/>
            </w:tcBorders>
            <w:shd w:val="clear" w:color="000000" w:fill="FFFFFF"/>
            <w:noWrap/>
            <w:vAlign w:val="center"/>
            <w:hideMark/>
          </w:tcPr>
          <w:p w14:paraId="21FA4F13"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18.1</w:t>
            </w:r>
          </w:p>
        </w:tc>
        <w:tc>
          <w:tcPr>
            <w:tcW w:w="993" w:type="dxa"/>
            <w:gridSpan w:val="2"/>
            <w:tcBorders>
              <w:top w:val="single" w:sz="4" w:space="0" w:color="auto"/>
              <w:left w:val="nil"/>
              <w:bottom w:val="single" w:sz="4" w:space="0" w:color="auto"/>
              <w:right w:val="nil"/>
            </w:tcBorders>
            <w:shd w:val="clear" w:color="000000" w:fill="FFFFFF"/>
            <w:noWrap/>
            <w:vAlign w:val="center"/>
            <w:hideMark/>
          </w:tcPr>
          <w:p w14:paraId="1AB85303"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n/a</w:t>
            </w:r>
          </w:p>
        </w:tc>
      </w:tr>
      <w:tr w:rsidR="00C03C94" w:rsidRPr="00C03C94" w14:paraId="15E9B737" w14:textId="77777777" w:rsidTr="00D11D77">
        <w:trPr>
          <w:gridAfter w:val="1"/>
          <w:wAfter w:w="141" w:type="dxa"/>
          <w:trHeight w:val="325"/>
        </w:trPr>
        <w:tc>
          <w:tcPr>
            <w:tcW w:w="2578" w:type="dxa"/>
            <w:tcBorders>
              <w:top w:val="nil"/>
              <w:left w:val="nil"/>
              <w:bottom w:val="nil"/>
              <w:right w:val="nil"/>
            </w:tcBorders>
            <w:shd w:val="clear" w:color="000000" w:fill="FFFFFF"/>
            <w:vAlign w:val="bottom"/>
            <w:hideMark/>
          </w:tcPr>
          <w:p w14:paraId="61B84C63" w14:textId="77777777" w:rsidR="00D11D77" w:rsidRPr="00C03C94" w:rsidRDefault="00D11D77" w:rsidP="0047656C">
            <w:pPr>
              <w:spacing w:line="240" w:lineRule="auto"/>
              <w:rPr>
                <w:rFonts w:ascii="Calibri" w:hAnsi="Calibri" w:cs="Arial"/>
                <w:i/>
                <w:iCs/>
                <w:lang w:eastAsia="en-GB"/>
              </w:rPr>
            </w:pPr>
            <w:r w:rsidRPr="00C03C94">
              <w:rPr>
                <w:rFonts w:ascii="Calibri" w:hAnsi="Calibri" w:cs="Arial"/>
                <w:i/>
                <w:iCs/>
                <w:lang w:eastAsia="en-GB"/>
              </w:rPr>
              <w:t>of which receipts</w:t>
            </w:r>
          </w:p>
        </w:tc>
        <w:tc>
          <w:tcPr>
            <w:tcW w:w="953" w:type="dxa"/>
            <w:tcBorders>
              <w:top w:val="nil"/>
              <w:left w:val="nil"/>
              <w:bottom w:val="nil"/>
              <w:right w:val="nil"/>
            </w:tcBorders>
            <w:shd w:val="clear" w:color="000000" w:fill="FFFFFF"/>
            <w:noWrap/>
            <w:vAlign w:val="center"/>
            <w:hideMark/>
          </w:tcPr>
          <w:p w14:paraId="7657559E"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2.0</w:t>
            </w:r>
          </w:p>
        </w:tc>
        <w:tc>
          <w:tcPr>
            <w:tcW w:w="961" w:type="dxa"/>
            <w:gridSpan w:val="2"/>
            <w:tcBorders>
              <w:top w:val="nil"/>
              <w:left w:val="nil"/>
              <w:bottom w:val="nil"/>
              <w:right w:val="nil"/>
            </w:tcBorders>
            <w:shd w:val="clear" w:color="000000" w:fill="FFFFFF"/>
            <w:noWrap/>
            <w:vAlign w:val="center"/>
            <w:hideMark/>
          </w:tcPr>
          <w:p w14:paraId="0F7C7E92"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6.7</w:t>
            </w:r>
          </w:p>
        </w:tc>
        <w:tc>
          <w:tcPr>
            <w:tcW w:w="956" w:type="dxa"/>
            <w:gridSpan w:val="2"/>
            <w:tcBorders>
              <w:top w:val="nil"/>
              <w:left w:val="nil"/>
              <w:bottom w:val="nil"/>
              <w:right w:val="nil"/>
            </w:tcBorders>
            <w:shd w:val="clear" w:color="000000" w:fill="FFFFFF"/>
            <w:noWrap/>
            <w:vAlign w:val="center"/>
            <w:hideMark/>
          </w:tcPr>
          <w:p w14:paraId="3610575E"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9.3</w:t>
            </w:r>
          </w:p>
        </w:tc>
        <w:tc>
          <w:tcPr>
            <w:tcW w:w="1018" w:type="dxa"/>
            <w:gridSpan w:val="2"/>
            <w:tcBorders>
              <w:top w:val="nil"/>
              <w:left w:val="nil"/>
              <w:bottom w:val="nil"/>
              <w:right w:val="nil"/>
            </w:tcBorders>
            <w:shd w:val="clear" w:color="000000" w:fill="FFFFFF"/>
            <w:noWrap/>
            <w:vAlign w:val="center"/>
            <w:hideMark/>
          </w:tcPr>
          <w:p w14:paraId="2BF4910F"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13.1</w:t>
            </w:r>
          </w:p>
        </w:tc>
        <w:tc>
          <w:tcPr>
            <w:tcW w:w="970" w:type="dxa"/>
            <w:gridSpan w:val="2"/>
            <w:tcBorders>
              <w:top w:val="nil"/>
              <w:left w:val="nil"/>
              <w:bottom w:val="nil"/>
              <w:right w:val="nil"/>
            </w:tcBorders>
            <w:shd w:val="clear" w:color="000000" w:fill="FFFFFF"/>
            <w:noWrap/>
            <w:vAlign w:val="center"/>
            <w:hideMark/>
          </w:tcPr>
          <w:p w14:paraId="606DB31B"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15.2</w:t>
            </w:r>
          </w:p>
        </w:tc>
        <w:tc>
          <w:tcPr>
            <w:tcW w:w="1069" w:type="dxa"/>
            <w:gridSpan w:val="2"/>
            <w:tcBorders>
              <w:top w:val="nil"/>
              <w:left w:val="nil"/>
              <w:bottom w:val="nil"/>
              <w:right w:val="nil"/>
            </w:tcBorders>
            <w:shd w:val="clear" w:color="000000" w:fill="FFFFFF"/>
            <w:noWrap/>
            <w:vAlign w:val="center"/>
            <w:hideMark/>
          </w:tcPr>
          <w:p w14:paraId="6B7CF7A9"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15.3</w:t>
            </w:r>
          </w:p>
        </w:tc>
        <w:tc>
          <w:tcPr>
            <w:tcW w:w="993" w:type="dxa"/>
            <w:gridSpan w:val="2"/>
            <w:tcBorders>
              <w:top w:val="nil"/>
              <w:left w:val="nil"/>
              <w:bottom w:val="nil"/>
              <w:right w:val="nil"/>
            </w:tcBorders>
            <w:shd w:val="clear" w:color="000000" w:fill="FFFFFF"/>
            <w:noWrap/>
            <w:vAlign w:val="center"/>
            <w:hideMark/>
          </w:tcPr>
          <w:p w14:paraId="3435FAF7"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n/a</w:t>
            </w:r>
          </w:p>
        </w:tc>
      </w:tr>
      <w:tr w:rsidR="00C03C94" w:rsidRPr="00C03C94" w14:paraId="25D13775" w14:textId="77777777" w:rsidTr="00D11D77">
        <w:trPr>
          <w:gridAfter w:val="1"/>
          <w:wAfter w:w="141" w:type="dxa"/>
          <w:trHeight w:val="325"/>
        </w:trPr>
        <w:tc>
          <w:tcPr>
            <w:tcW w:w="2578" w:type="dxa"/>
            <w:tcBorders>
              <w:top w:val="nil"/>
              <w:left w:val="nil"/>
              <w:bottom w:val="nil"/>
              <w:right w:val="nil"/>
            </w:tcBorders>
            <w:shd w:val="clear" w:color="000000" w:fill="FFFFFF"/>
            <w:vAlign w:val="bottom"/>
            <w:hideMark/>
          </w:tcPr>
          <w:p w14:paraId="42267885" w14:textId="77777777" w:rsidR="00D11D77" w:rsidRPr="00C03C94" w:rsidRDefault="00D11D77" w:rsidP="0047656C">
            <w:pPr>
              <w:spacing w:line="240" w:lineRule="auto"/>
              <w:rPr>
                <w:rFonts w:ascii="Calibri" w:hAnsi="Calibri" w:cs="Arial"/>
                <w:i/>
                <w:iCs/>
                <w:lang w:eastAsia="en-GB"/>
              </w:rPr>
            </w:pPr>
            <w:r w:rsidRPr="00C03C94">
              <w:rPr>
                <w:rFonts w:ascii="Calibri" w:hAnsi="Calibri" w:cs="Arial"/>
                <w:i/>
                <w:iCs/>
                <w:lang w:eastAsia="en-GB"/>
              </w:rPr>
              <w:t>of which debt interest spending</w:t>
            </w:r>
          </w:p>
        </w:tc>
        <w:tc>
          <w:tcPr>
            <w:tcW w:w="953" w:type="dxa"/>
            <w:tcBorders>
              <w:top w:val="nil"/>
              <w:left w:val="nil"/>
              <w:bottom w:val="nil"/>
              <w:right w:val="nil"/>
            </w:tcBorders>
            <w:shd w:val="clear" w:color="000000" w:fill="FFFFFF"/>
            <w:noWrap/>
            <w:vAlign w:val="center"/>
            <w:hideMark/>
          </w:tcPr>
          <w:p w14:paraId="58EA615A"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-0.7</w:t>
            </w:r>
          </w:p>
        </w:tc>
        <w:tc>
          <w:tcPr>
            <w:tcW w:w="961" w:type="dxa"/>
            <w:gridSpan w:val="2"/>
            <w:tcBorders>
              <w:top w:val="nil"/>
              <w:left w:val="nil"/>
              <w:bottom w:val="nil"/>
              <w:right w:val="nil"/>
            </w:tcBorders>
            <w:shd w:val="clear" w:color="000000" w:fill="FFFFFF"/>
            <w:noWrap/>
            <w:vAlign w:val="center"/>
            <w:hideMark/>
          </w:tcPr>
          <w:p w14:paraId="32A5AE23"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0.8</w:t>
            </w:r>
          </w:p>
        </w:tc>
        <w:tc>
          <w:tcPr>
            <w:tcW w:w="956" w:type="dxa"/>
            <w:gridSpan w:val="2"/>
            <w:tcBorders>
              <w:top w:val="nil"/>
              <w:left w:val="nil"/>
              <w:bottom w:val="nil"/>
              <w:right w:val="nil"/>
            </w:tcBorders>
            <w:shd w:val="clear" w:color="000000" w:fill="FFFFFF"/>
            <w:noWrap/>
            <w:vAlign w:val="center"/>
            <w:hideMark/>
          </w:tcPr>
          <w:p w14:paraId="19163289"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-0.8</w:t>
            </w:r>
          </w:p>
        </w:tc>
        <w:tc>
          <w:tcPr>
            <w:tcW w:w="1018" w:type="dxa"/>
            <w:gridSpan w:val="2"/>
            <w:tcBorders>
              <w:top w:val="nil"/>
              <w:left w:val="nil"/>
              <w:bottom w:val="nil"/>
              <w:right w:val="nil"/>
            </w:tcBorders>
            <w:shd w:val="clear" w:color="000000" w:fill="FFFFFF"/>
            <w:noWrap/>
            <w:vAlign w:val="center"/>
            <w:hideMark/>
          </w:tcPr>
          <w:p w14:paraId="039D5FA1"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-3.4</w:t>
            </w:r>
          </w:p>
        </w:tc>
        <w:tc>
          <w:tcPr>
            <w:tcW w:w="970" w:type="dxa"/>
            <w:gridSpan w:val="2"/>
            <w:tcBorders>
              <w:top w:val="nil"/>
              <w:left w:val="nil"/>
              <w:bottom w:val="nil"/>
              <w:right w:val="nil"/>
            </w:tcBorders>
            <w:shd w:val="clear" w:color="000000" w:fill="FFFFFF"/>
            <w:noWrap/>
            <w:vAlign w:val="center"/>
            <w:hideMark/>
          </w:tcPr>
          <w:p w14:paraId="476A5D42"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-4.5</w:t>
            </w:r>
          </w:p>
        </w:tc>
        <w:tc>
          <w:tcPr>
            <w:tcW w:w="1069" w:type="dxa"/>
            <w:gridSpan w:val="2"/>
            <w:tcBorders>
              <w:top w:val="nil"/>
              <w:left w:val="nil"/>
              <w:bottom w:val="nil"/>
              <w:right w:val="nil"/>
            </w:tcBorders>
            <w:shd w:val="clear" w:color="000000" w:fill="FFFFFF"/>
            <w:noWrap/>
            <w:vAlign w:val="center"/>
            <w:hideMark/>
          </w:tcPr>
          <w:p w14:paraId="5688888A"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-4.3</w:t>
            </w:r>
          </w:p>
        </w:tc>
        <w:tc>
          <w:tcPr>
            <w:tcW w:w="993" w:type="dxa"/>
            <w:gridSpan w:val="2"/>
            <w:tcBorders>
              <w:top w:val="nil"/>
              <w:left w:val="nil"/>
              <w:bottom w:val="nil"/>
              <w:right w:val="nil"/>
            </w:tcBorders>
            <w:shd w:val="clear" w:color="000000" w:fill="FFFFFF"/>
            <w:noWrap/>
            <w:vAlign w:val="center"/>
            <w:hideMark/>
          </w:tcPr>
          <w:p w14:paraId="4EEAEE9F"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n/a</w:t>
            </w:r>
          </w:p>
        </w:tc>
      </w:tr>
      <w:tr w:rsidR="00C03C94" w:rsidRPr="00C03C94" w14:paraId="7604D0DA" w14:textId="77777777" w:rsidTr="00D11D77">
        <w:trPr>
          <w:gridAfter w:val="1"/>
          <w:wAfter w:w="141" w:type="dxa"/>
          <w:trHeight w:val="325"/>
        </w:trPr>
        <w:tc>
          <w:tcPr>
            <w:tcW w:w="2578" w:type="dxa"/>
            <w:tcBorders>
              <w:top w:val="nil"/>
              <w:left w:val="nil"/>
              <w:bottom w:val="nil"/>
              <w:right w:val="nil"/>
            </w:tcBorders>
            <w:shd w:val="clear" w:color="000000" w:fill="FFFFFF"/>
            <w:vAlign w:val="bottom"/>
            <w:hideMark/>
          </w:tcPr>
          <w:p w14:paraId="66495A58" w14:textId="77777777" w:rsidR="00D11D77" w:rsidRPr="00C03C94" w:rsidRDefault="00D11D77" w:rsidP="0047656C">
            <w:pPr>
              <w:spacing w:line="240" w:lineRule="auto"/>
              <w:rPr>
                <w:rFonts w:ascii="Calibri" w:hAnsi="Calibri" w:cs="Arial"/>
                <w:i/>
                <w:iCs/>
                <w:lang w:eastAsia="en-GB"/>
              </w:rPr>
            </w:pPr>
            <w:r w:rsidRPr="00C03C94">
              <w:rPr>
                <w:rFonts w:ascii="Calibri" w:hAnsi="Calibri" w:cs="Arial"/>
                <w:i/>
                <w:iCs/>
                <w:lang w:eastAsia="en-GB"/>
              </w:rPr>
              <w:t>of which other spending</w:t>
            </w:r>
          </w:p>
        </w:tc>
        <w:tc>
          <w:tcPr>
            <w:tcW w:w="953" w:type="dxa"/>
            <w:tcBorders>
              <w:top w:val="nil"/>
              <w:left w:val="nil"/>
              <w:bottom w:val="nil"/>
              <w:right w:val="nil"/>
            </w:tcBorders>
            <w:shd w:val="clear" w:color="000000" w:fill="FFFFFF"/>
            <w:noWrap/>
            <w:vAlign w:val="center"/>
            <w:hideMark/>
          </w:tcPr>
          <w:p w14:paraId="271BCFD1"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2.5</w:t>
            </w:r>
          </w:p>
        </w:tc>
        <w:tc>
          <w:tcPr>
            <w:tcW w:w="961" w:type="dxa"/>
            <w:gridSpan w:val="2"/>
            <w:tcBorders>
              <w:top w:val="nil"/>
              <w:left w:val="nil"/>
              <w:bottom w:val="nil"/>
              <w:right w:val="nil"/>
            </w:tcBorders>
            <w:shd w:val="clear" w:color="000000" w:fill="FFFFFF"/>
            <w:noWrap/>
            <w:vAlign w:val="center"/>
            <w:hideMark/>
          </w:tcPr>
          <w:p w14:paraId="71004357"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3.7</w:t>
            </w:r>
          </w:p>
        </w:tc>
        <w:tc>
          <w:tcPr>
            <w:tcW w:w="956" w:type="dxa"/>
            <w:gridSpan w:val="2"/>
            <w:tcBorders>
              <w:top w:val="nil"/>
              <w:left w:val="nil"/>
              <w:bottom w:val="nil"/>
              <w:right w:val="nil"/>
            </w:tcBorders>
            <w:shd w:val="clear" w:color="000000" w:fill="FFFFFF"/>
            <w:noWrap/>
            <w:vAlign w:val="center"/>
            <w:hideMark/>
          </w:tcPr>
          <w:p w14:paraId="32244636"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8.7</w:t>
            </w:r>
          </w:p>
        </w:tc>
        <w:tc>
          <w:tcPr>
            <w:tcW w:w="1018" w:type="dxa"/>
            <w:gridSpan w:val="2"/>
            <w:tcBorders>
              <w:top w:val="nil"/>
              <w:left w:val="nil"/>
              <w:bottom w:val="nil"/>
              <w:right w:val="nil"/>
            </w:tcBorders>
            <w:shd w:val="clear" w:color="000000" w:fill="FFFFFF"/>
            <w:noWrap/>
            <w:vAlign w:val="center"/>
            <w:hideMark/>
          </w:tcPr>
          <w:p w14:paraId="34A644C8"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10.4</w:t>
            </w:r>
          </w:p>
        </w:tc>
        <w:tc>
          <w:tcPr>
            <w:tcW w:w="970" w:type="dxa"/>
            <w:gridSpan w:val="2"/>
            <w:tcBorders>
              <w:top w:val="nil"/>
              <w:left w:val="nil"/>
              <w:bottom w:val="nil"/>
              <w:right w:val="nil"/>
            </w:tcBorders>
            <w:shd w:val="clear" w:color="000000" w:fill="FFFFFF"/>
            <w:noWrap/>
            <w:vAlign w:val="center"/>
            <w:hideMark/>
          </w:tcPr>
          <w:p w14:paraId="69A98B37"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6.9</w:t>
            </w:r>
          </w:p>
        </w:tc>
        <w:tc>
          <w:tcPr>
            <w:tcW w:w="1069" w:type="dxa"/>
            <w:gridSpan w:val="2"/>
            <w:tcBorders>
              <w:top w:val="nil"/>
              <w:left w:val="nil"/>
              <w:bottom w:val="nil"/>
              <w:right w:val="nil"/>
            </w:tcBorders>
            <w:shd w:val="clear" w:color="000000" w:fill="FFFFFF"/>
            <w:noWrap/>
            <w:vAlign w:val="center"/>
            <w:hideMark/>
          </w:tcPr>
          <w:p w14:paraId="284E9FAA"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7.0</w:t>
            </w:r>
          </w:p>
        </w:tc>
        <w:tc>
          <w:tcPr>
            <w:tcW w:w="993" w:type="dxa"/>
            <w:gridSpan w:val="2"/>
            <w:tcBorders>
              <w:top w:val="nil"/>
              <w:left w:val="nil"/>
              <w:bottom w:val="nil"/>
              <w:right w:val="nil"/>
            </w:tcBorders>
            <w:shd w:val="clear" w:color="000000" w:fill="FFFFFF"/>
            <w:noWrap/>
            <w:vAlign w:val="center"/>
            <w:hideMark/>
          </w:tcPr>
          <w:p w14:paraId="6B4FF8B3" w14:textId="77777777" w:rsidR="00D11D77" w:rsidRPr="00C03C94" w:rsidRDefault="00D11D77" w:rsidP="0047656C">
            <w:pPr>
              <w:spacing w:line="240" w:lineRule="auto"/>
              <w:jc w:val="right"/>
              <w:rPr>
                <w:rFonts w:ascii="Calibri" w:hAnsi="Calibri" w:cs="Arial"/>
                <w:i/>
                <w:iCs/>
                <w:lang w:eastAsia="en-GB"/>
              </w:rPr>
            </w:pPr>
            <w:r w:rsidRPr="00C03C94">
              <w:rPr>
                <w:rFonts w:ascii="Calibri" w:hAnsi="Calibri" w:cs="Arial"/>
                <w:i/>
                <w:iCs/>
                <w:lang w:eastAsia="en-GB"/>
              </w:rPr>
              <w:t>n/a</w:t>
            </w:r>
          </w:p>
        </w:tc>
      </w:tr>
      <w:tr w:rsidR="00C03C94" w:rsidRPr="00C03C94" w14:paraId="7A326399" w14:textId="77777777" w:rsidTr="00D11D77">
        <w:trPr>
          <w:gridAfter w:val="1"/>
          <w:wAfter w:w="141" w:type="dxa"/>
          <w:trHeight w:val="325"/>
        </w:trPr>
        <w:tc>
          <w:tcPr>
            <w:tcW w:w="2578" w:type="dxa"/>
            <w:tcBorders>
              <w:top w:val="single" w:sz="4" w:space="0" w:color="auto"/>
              <w:left w:val="nil"/>
              <w:bottom w:val="single" w:sz="4" w:space="0" w:color="auto"/>
              <w:right w:val="nil"/>
            </w:tcBorders>
            <w:shd w:val="clear" w:color="000000" w:fill="FFFFFF"/>
            <w:vAlign w:val="bottom"/>
            <w:hideMark/>
          </w:tcPr>
          <w:p w14:paraId="31CD35B4"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Forecast pre-policy decisions</w:t>
            </w:r>
          </w:p>
        </w:tc>
        <w:tc>
          <w:tcPr>
            <w:tcW w:w="953" w:type="dxa"/>
            <w:tcBorders>
              <w:top w:val="single" w:sz="4" w:space="0" w:color="auto"/>
              <w:left w:val="nil"/>
              <w:bottom w:val="single" w:sz="4" w:space="0" w:color="auto"/>
              <w:right w:val="nil"/>
            </w:tcBorders>
            <w:shd w:val="clear" w:color="000000" w:fill="FFFFFF"/>
            <w:noWrap/>
            <w:vAlign w:val="center"/>
            <w:hideMark/>
          </w:tcPr>
          <w:p w14:paraId="289213A2"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76.0</w:t>
            </w:r>
          </w:p>
        </w:tc>
        <w:tc>
          <w:tcPr>
            <w:tcW w:w="961" w:type="dxa"/>
            <w:gridSpan w:val="2"/>
            <w:tcBorders>
              <w:top w:val="single" w:sz="4" w:space="0" w:color="auto"/>
              <w:left w:val="nil"/>
              <w:bottom w:val="single" w:sz="4" w:space="0" w:color="auto"/>
              <w:right w:val="nil"/>
            </w:tcBorders>
            <w:shd w:val="clear" w:color="000000" w:fill="FFFFFF"/>
            <w:noWrap/>
            <w:vAlign w:val="center"/>
            <w:hideMark/>
          </w:tcPr>
          <w:p w14:paraId="0707EE25"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67.2</w:t>
            </w:r>
          </w:p>
        </w:tc>
        <w:tc>
          <w:tcPr>
            <w:tcW w:w="956" w:type="dxa"/>
            <w:gridSpan w:val="2"/>
            <w:tcBorders>
              <w:top w:val="single" w:sz="4" w:space="0" w:color="auto"/>
              <w:left w:val="nil"/>
              <w:bottom w:val="single" w:sz="4" w:space="0" w:color="auto"/>
              <w:right w:val="nil"/>
            </w:tcBorders>
            <w:shd w:val="clear" w:color="000000" w:fill="FFFFFF"/>
            <w:noWrap/>
            <w:vAlign w:val="center"/>
            <w:hideMark/>
          </w:tcPr>
          <w:p w14:paraId="5647AF12"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56.4</w:t>
            </w:r>
          </w:p>
        </w:tc>
        <w:tc>
          <w:tcPr>
            <w:tcW w:w="1018" w:type="dxa"/>
            <w:gridSpan w:val="2"/>
            <w:tcBorders>
              <w:top w:val="single" w:sz="4" w:space="0" w:color="auto"/>
              <w:left w:val="nil"/>
              <w:bottom w:val="single" w:sz="4" w:space="0" w:color="auto"/>
              <w:right w:val="nil"/>
            </w:tcBorders>
            <w:shd w:val="clear" w:color="000000" w:fill="FFFFFF"/>
            <w:noWrap/>
            <w:vAlign w:val="center"/>
            <w:hideMark/>
          </w:tcPr>
          <w:p w14:paraId="17143722"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42.0</w:t>
            </w:r>
          </w:p>
        </w:tc>
        <w:tc>
          <w:tcPr>
            <w:tcW w:w="970" w:type="dxa"/>
            <w:gridSpan w:val="2"/>
            <w:tcBorders>
              <w:top w:val="single" w:sz="4" w:space="0" w:color="auto"/>
              <w:left w:val="nil"/>
              <w:bottom w:val="single" w:sz="4" w:space="0" w:color="auto"/>
              <w:right w:val="nil"/>
            </w:tcBorders>
            <w:shd w:val="clear" w:color="000000" w:fill="FFFFFF"/>
            <w:noWrap/>
            <w:vAlign w:val="center"/>
            <w:hideMark/>
          </w:tcPr>
          <w:p w14:paraId="7D93D4E9"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13.6</w:t>
            </w:r>
          </w:p>
        </w:tc>
        <w:tc>
          <w:tcPr>
            <w:tcW w:w="1069" w:type="dxa"/>
            <w:gridSpan w:val="2"/>
            <w:tcBorders>
              <w:top w:val="single" w:sz="4" w:space="0" w:color="auto"/>
              <w:left w:val="nil"/>
              <w:bottom w:val="single" w:sz="4" w:space="0" w:color="auto"/>
              <w:right w:val="nil"/>
            </w:tcBorders>
            <w:shd w:val="clear" w:color="000000" w:fill="FFFFFF"/>
            <w:noWrap/>
            <w:vAlign w:val="center"/>
            <w:hideMark/>
          </w:tcPr>
          <w:p w14:paraId="2B5BEC60"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11.2</w:t>
            </w:r>
          </w:p>
        </w:tc>
        <w:tc>
          <w:tcPr>
            <w:tcW w:w="993" w:type="dxa"/>
            <w:gridSpan w:val="2"/>
            <w:tcBorders>
              <w:top w:val="single" w:sz="4" w:space="0" w:color="auto"/>
              <w:left w:val="nil"/>
              <w:bottom w:val="single" w:sz="4" w:space="0" w:color="auto"/>
              <w:right w:val="nil"/>
            </w:tcBorders>
            <w:shd w:val="clear" w:color="000000" w:fill="FFFFFF"/>
            <w:noWrap/>
            <w:vAlign w:val="center"/>
            <w:hideMark/>
          </w:tcPr>
          <w:p w14:paraId="0087F0ED"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11.6</w:t>
            </w:r>
          </w:p>
        </w:tc>
      </w:tr>
      <w:tr w:rsidR="00C03C94" w:rsidRPr="00C03C94" w14:paraId="23DC4D7E" w14:textId="77777777" w:rsidTr="00D11D77">
        <w:trPr>
          <w:gridAfter w:val="1"/>
          <w:wAfter w:w="141" w:type="dxa"/>
          <w:trHeight w:val="325"/>
        </w:trPr>
        <w:tc>
          <w:tcPr>
            <w:tcW w:w="2578" w:type="dxa"/>
            <w:tcBorders>
              <w:top w:val="nil"/>
              <w:left w:val="nil"/>
              <w:bottom w:val="nil"/>
              <w:right w:val="nil"/>
            </w:tcBorders>
            <w:shd w:val="clear" w:color="000000" w:fill="FFFFFF"/>
            <w:vAlign w:val="bottom"/>
            <w:hideMark/>
          </w:tcPr>
          <w:p w14:paraId="7A23EAED" w14:textId="77777777" w:rsidR="00D11D77" w:rsidRPr="00C03C94" w:rsidRDefault="00D11D77" w:rsidP="0047656C">
            <w:pPr>
              <w:spacing w:line="240" w:lineRule="auto"/>
              <w:rPr>
                <w:rFonts w:ascii="Calibri" w:hAnsi="Calibri" w:cs="Arial"/>
                <w:lang w:eastAsia="en-GB"/>
              </w:rPr>
            </w:pPr>
            <w:r w:rsidRPr="00C03C94">
              <w:rPr>
                <w:rFonts w:ascii="Calibri" w:hAnsi="Calibri" w:cs="Arial"/>
                <w:lang w:eastAsia="en-GB"/>
              </w:rPr>
              <w:t>Effects of Government decisions</w:t>
            </w:r>
          </w:p>
        </w:tc>
        <w:tc>
          <w:tcPr>
            <w:tcW w:w="953" w:type="dxa"/>
            <w:tcBorders>
              <w:top w:val="nil"/>
              <w:left w:val="nil"/>
              <w:bottom w:val="nil"/>
              <w:right w:val="nil"/>
            </w:tcBorders>
            <w:shd w:val="clear" w:color="000000" w:fill="FFFFFF"/>
            <w:noWrap/>
            <w:vAlign w:val="center"/>
            <w:hideMark/>
          </w:tcPr>
          <w:p w14:paraId="4EF885B3"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0.0</w:t>
            </w:r>
          </w:p>
        </w:tc>
        <w:tc>
          <w:tcPr>
            <w:tcW w:w="961" w:type="dxa"/>
            <w:gridSpan w:val="2"/>
            <w:tcBorders>
              <w:top w:val="nil"/>
              <w:left w:val="nil"/>
              <w:bottom w:val="nil"/>
              <w:right w:val="nil"/>
            </w:tcBorders>
            <w:shd w:val="clear" w:color="000000" w:fill="FFFFFF"/>
            <w:noWrap/>
            <w:vAlign w:val="center"/>
            <w:hideMark/>
          </w:tcPr>
          <w:p w14:paraId="2F2E0AC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0.9</w:t>
            </w:r>
          </w:p>
        </w:tc>
        <w:tc>
          <w:tcPr>
            <w:tcW w:w="956" w:type="dxa"/>
            <w:gridSpan w:val="2"/>
            <w:tcBorders>
              <w:top w:val="nil"/>
              <w:left w:val="nil"/>
              <w:bottom w:val="nil"/>
              <w:right w:val="nil"/>
            </w:tcBorders>
            <w:shd w:val="clear" w:color="000000" w:fill="FFFFFF"/>
            <w:noWrap/>
            <w:vAlign w:val="center"/>
            <w:hideMark/>
          </w:tcPr>
          <w:p w14:paraId="145F6914"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2.5</w:t>
            </w:r>
          </w:p>
        </w:tc>
        <w:tc>
          <w:tcPr>
            <w:tcW w:w="1018" w:type="dxa"/>
            <w:gridSpan w:val="2"/>
            <w:tcBorders>
              <w:top w:val="nil"/>
              <w:left w:val="nil"/>
              <w:bottom w:val="nil"/>
              <w:right w:val="nil"/>
            </w:tcBorders>
            <w:shd w:val="clear" w:color="000000" w:fill="FFFFFF"/>
            <w:noWrap/>
            <w:vAlign w:val="center"/>
            <w:hideMark/>
          </w:tcPr>
          <w:p w14:paraId="2B4EEB60"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4.5</w:t>
            </w:r>
          </w:p>
        </w:tc>
        <w:tc>
          <w:tcPr>
            <w:tcW w:w="970" w:type="dxa"/>
            <w:gridSpan w:val="2"/>
            <w:tcBorders>
              <w:top w:val="nil"/>
              <w:left w:val="nil"/>
              <w:bottom w:val="nil"/>
              <w:right w:val="nil"/>
            </w:tcBorders>
            <w:shd w:val="clear" w:color="000000" w:fill="FFFFFF"/>
            <w:noWrap/>
            <w:vAlign w:val="center"/>
            <w:hideMark/>
          </w:tcPr>
          <w:p w14:paraId="0DA883D1"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8.4</w:t>
            </w:r>
          </w:p>
        </w:tc>
        <w:tc>
          <w:tcPr>
            <w:tcW w:w="1069" w:type="dxa"/>
            <w:gridSpan w:val="2"/>
            <w:tcBorders>
              <w:top w:val="nil"/>
              <w:left w:val="nil"/>
              <w:bottom w:val="nil"/>
              <w:right w:val="nil"/>
            </w:tcBorders>
            <w:shd w:val="clear" w:color="000000" w:fill="FFFFFF"/>
            <w:noWrap/>
            <w:vAlign w:val="center"/>
            <w:hideMark/>
          </w:tcPr>
          <w:p w14:paraId="14D59669"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9.6</w:t>
            </w:r>
          </w:p>
        </w:tc>
        <w:tc>
          <w:tcPr>
            <w:tcW w:w="993" w:type="dxa"/>
            <w:gridSpan w:val="2"/>
            <w:tcBorders>
              <w:top w:val="nil"/>
              <w:left w:val="nil"/>
              <w:bottom w:val="nil"/>
              <w:right w:val="nil"/>
            </w:tcBorders>
            <w:shd w:val="clear" w:color="000000" w:fill="FFFFFF"/>
            <w:noWrap/>
            <w:vAlign w:val="center"/>
            <w:hideMark/>
          </w:tcPr>
          <w:p w14:paraId="60F7F76F" w14:textId="77777777" w:rsidR="00D11D77" w:rsidRPr="00C03C94" w:rsidRDefault="00D11D77" w:rsidP="0047656C">
            <w:pPr>
              <w:spacing w:line="240" w:lineRule="auto"/>
              <w:jc w:val="right"/>
              <w:rPr>
                <w:rFonts w:ascii="Calibri" w:hAnsi="Calibri" w:cs="Arial"/>
                <w:lang w:eastAsia="en-GB"/>
              </w:rPr>
            </w:pPr>
            <w:r w:rsidRPr="00C03C94">
              <w:rPr>
                <w:rFonts w:ascii="Calibri" w:hAnsi="Calibri" w:cs="Arial"/>
                <w:lang w:eastAsia="en-GB"/>
              </w:rPr>
              <w:t>5.6</w:t>
            </w:r>
          </w:p>
        </w:tc>
      </w:tr>
      <w:tr w:rsidR="00C03C94" w:rsidRPr="00C03C94" w14:paraId="47904851" w14:textId="77777777" w:rsidTr="00D11D77">
        <w:trPr>
          <w:gridAfter w:val="1"/>
          <w:wAfter w:w="141" w:type="dxa"/>
          <w:trHeight w:val="341"/>
        </w:trPr>
        <w:tc>
          <w:tcPr>
            <w:tcW w:w="2578" w:type="dxa"/>
            <w:tcBorders>
              <w:top w:val="single" w:sz="4" w:space="0" w:color="auto"/>
              <w:left w:val="nil"/>
              <w:bottom w:val="single" w:sz="8" w:space="0" w:color="auto"/>
              <w:right w:val="nil"/>
            </w:tcBorders>
            <w:shd w:val="clear" w:color="000000" w:fill="FFFFFF"/>
            <w:vAlign w:val="bottom"/>
            <w:hideMark/>
          </w:tcPr>
          <w:p w14:paraId="5595B164" w14:textId="77777777" w:rsidR="00D11D77" w:rsidRPr="00C03C94" w:rsidRDefault="00D11D77" w:rsidP="0047656C">
            <w:pPr>
              <w:spacing w:line="240" w:lineRule="auto"/>
              <w:rPr>
                <w:rFonts w:ascii="Calibri" w:hAnsi="Calibri" w:cs="Arial"/>
                <w:b/>
                <w:bCs/>
                <w:lang w:eastAsia="en-GB"/>
              </w:rPr>
            </w:pPr>
            <w:r w:rsidRPr="00C03C94">
              <w:rPr>
                <w:rFonts w:ascii="Calibri" w:hAnsi="Calibri" w:cs="Arial"/>
                <w:b/>
                <w:bCs/>
                <w:lang w:eastAsia="en-GB"/>
              </w:rPr>
              <w:t>Autumn Statement 2016 Borrowing Forecast</w:t>
            </w:r>
          </w:p>
        </w:tc>
        <w:tc>
          <w:tcPr>
            <w:tcW w:w="953" w:type="dxa"/>
            <w:tcBorders>
              <w:top w:val="single" w:sz="4" w:space="0" w:color="auto"/>
              <w:left w:val="nil"/>
              <w:bottom w:val="single" w:sz="8" w:space="0" w:color="auto"/>
              <w:right w:val="nil"/>
            </w:tcBorders>
            <w:shd w:val="clear" w:color="000000" w:fill="FFFFFF"/>
            <w:noWrap/>
            <w:vAlign w:val="center"/>
            <w:hideMark/>
          </w:tcPr>
          <w:p w14:paraId="6AC32244"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76.0</w:t>
            </w:r>
          </w:p>
        </w:tc>
        <w:tc>
          <w:tcPr>
            <w:tcW w:w="961" w:type="dxa"/>
            <w:gridSpan w:val="2"/>
            <w:tcBorders>
              <w:top w:val="single" w:sz="4" w:space="0" w:color="auto"/>
              <w:left w:val="nil"/>
              <w:bottom w:val="single" w:sz="8" w:space="0" w:color="auto"/>
              <w:right w:val="nil"/>
            </w:tcBorders>
            <w:shd w:val="clear" w:color="000000" w:fill="FFFFFF"/>
            <w:noWrap/>
            <w:vAlign w:val="center"/>
            <w:hideMark/>
          </w:tcPr>
          <w:p w14:paraId="5B067BD8"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68.2</w:t>
            </w:r>
          </w:p>
        </w:tc>
        <w:tc>
          <w:tcPr>
            <w:tcW w:w="956" w:type="dxa"/>
            <w:gridSpan w:val="2"/>
            <w:tcBorders>
              <w:top w:val="single" w:sz="4" w:space="0" w:color="auto"/>
              <w:left w:val="nil"/>
              <w:bottom w:val="single" w:sz="8" w:space="0" w:color="auto"/>
              <w:right w:val="nil"/>
            </w:tcBorders>
            <w:shd w:val="clear" w:color="000000" w:fill="FFFFFF"/>
            <w:noWrap/>
            <w:vAlign w:val="center"/>
            <w:hideMark/>
          </w:tcPr>
          <w:p w14:paraId="22C9F1F3"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59.0</w:t>
            </w:r>
          </w:p>
        </w:tc>
        <w:tc>
          <w:tcPr>
            <w:tcW w:w="1018" w:type="dxa"/>
            <w:gridSpan w:val="2"/>
            <w:tcBorders>
              <w:top w:val="single" w:sz="4" w:space="0" w:color="auto"/>
              <w:left w:val="nil"/>
              <w:bottom w:val="single" w:sz="8" w:space="0" w:color="auto"/>
              <w:right w:val="nil"/>
            </w:tcBorders>
            <w:shd w:val="clear" w:color="000000" w:fill="FFFFFF"/>
            <w:noWrap/>
            <w:vAlign w:val="center"/>
            <w:hideMark/>
          </w:tcPr>
          <w:p w14:paraId="3853C102"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46.5</w:t>
            </w:r>
          </w:p>
        </w:tc>
        <w:tc>
          <w:tcPr>
            <w:tcW w:w="970" w:type="dxa"/>
            <w:gridSpan w:val="2"/>
            <w:tcBorders>
              <w:top w:val="single" w:sz="4" w:space="0" w:color="auto"/>
              <w:left w:val="nil"/>
              <w:bottom w:val="single" w:sz="8" w:space="0" w:color="auto"/>
              <w:right w:val="nil"/>
            </w:tcBorders>
            <w:shd w:val="clear" w:color="000000" w:fill="FFFFFF"/>
            <w:noWrap/>
            <w:vAlign w:val="center"/>
            <w:hideMark/>
          </w:tcPr>
          <w:p w14:paraId="00203961"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21.9</w:t>
            </w:r>
          </w:p>
        </w:tc>
        <w:tc>
          <w:tcPr>
            <w:tcW w:w="1069" w:type="dxa"/>
            <w:gridSpan w:val="2"/>
            <w:tcBorders>
              <w:top w:val="single" w:sz="4" w:space="0" w:color="auto"/>
              <w:left w:val="nil"/>
              <w:bottom w:val="single" w:sz="8" w:space="0" w:color="auto"/>
              <w:right w:val="nil"/>
            </w:tcBorders>
            <w:shd w:val="clear" w:color="000000" w:fill="FFFFFF"/>
            <w:noWrap/>
            <w:vAlign w:val="center"/>
            <w:hideMark/>
          </w:tcPr>
          <w:p w14:paraId="6F45F4EF"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20.7</w:t>
            </w:r>
          </w:p>
        </w:tc>
        <w:tc>
          <w:tcPr>
            <w:tcW w:w="993" w:type="dxa"/>
            <w:gridSpan w:val="2"/>
            <w:tcBorders>
              <w:top w:val="single" w:sz="4" w:space="0" w:color="auto"/>
              <w:left w:val="nil"/>
              <w:bottom w:val="single" w:sz="8" w:space="0" w:color="auto"/>
              <w:right w:val="nil"/>
            </w:tcBorders>
            <w:shd w:val="clear" w:color="000000" w:fill="FFFFFF"/>
            <w:noWrap/>
            <w:vAlign w:val="center"/>
            <w:hideMark/>
          </w:tcPr>
          <w:p w14:paraId="69D26597" w14:textId="77777777" w:rsidR="00D11D77" w:rsidRPr="00C03C94" w:rsidRDefault="00D11D77" w:rsidP="0047656C">
            <w:pPr>
              <w:spacing w:line="240" w:lineRule="auto"/>
              <w:jc w:val="right"/>
              <w:rPr>
                <w:rFonts w:ascii="Calibri" w:hAnsi="Calibri" w:cs="Arial"/>
                <w:b/>
                <w:bCs/>
                <w:lang w:eastAsia="en-GB"/>
              </w:rPr>
            </w:pPr>
            <w:r w:rsidRPr="00C03C94">
              <w:rPr>
                <w:rFonts w:ascii="Calibri" w:hAnsi="Calibri" w:cs="Arial"/>
                <w:b/>
                <w:bCs/>
                <w:lang w:eastAsia="en-GB"/>
              </w:rPr>
              <w:t>17.2</w:t>
            </w:r>
          </w:p>
        </w:tc>
      </w:tr>
    </w:tbl>
    <w:p w14:paraId="68772E95" w14:textId="05332BF0" w:rsidR="00FB656D" w:rsidRPr="00C03C94" w:rsidRDefault="00FB656D" w:rsidP="00FB656D">
      <w:pPr>
        <w:pStyle w:val="ListParagraph"/>
        <w:rPr>
          <w:rFonts w:ascii="Arial" w:eastAsia="Arial" w:hAnsi="Arial" w:cs="Arial"/>
          <w:b/>
          <w:u w:val="single"/>
        </w:rPr>
      </w:pPr>
    </w:p>
    <w:p w14:paraId="07890C3B" w14:textId="77777777" w:rsidR="00FB656D" w:rsidRPr="00C03C94" w:rsidRDefault="00FB656D" w:rsidP="00AB523F">
      <w:pPr>
        <w:pStyle w:val="ListParagraph"/>
        <w:widowControl/>
        <w:numPr>
          <w:ilvl w:val="0"/>
          <w:numId w:val="40"/>
        </w:numPr>
        <w:spacing w:after="160" w:line="252" w:lineRule="auto"/>
        <w:contextualSpacing/>
        <w:jc w:val="both"/>
        <w:rPr>
          <w:rFonts w:ascii="Arial" w:hAnsi="Arial" w:cs="Arial"/>
        </w:rPr>
      </w:pPr>
      <w:r w:rsidRPr="00C03C94">
        <w:rPr>
          <w:rFonts w:ascii="Arial" w:hAnsi="Arial" w:cs="Arial"/>
        </w:rPr>
        <w:t xml:space="preserve">The Government will no longer seek to achieve a fiscal surplus in this Parliament </w:t>
      </w:r>
      <w:r w:rsidRPr="00C03C94">
        <w:rPr>
          <w:rFonts w:ascii="Arial" w:hAnsi="Arial" w:cs="Arial"/>
          <w:i/>
        </w:rPr>
        <w:t>(Page 11, paragraph 1.35).</w:t>
      </w:r>
    </w:p>
    <w:p w14:paraId="2FA6E603" w14:textId="77777777" w:rsidR="00FB656D" w:rsidRPr="00C03C94" w:rsidRDefault="00FB656D" w:rsidP="00AB523F">
      <w:pPr>
        <w:pStyle w:val="ListParagraph"/>
        <w:jc w:val="both"/>
        <w:rPr>
          <w:rFonts w:ascii="Arial" w:hAnsi="Arial" w:cs="Arial"/>
        </w:rPr>
      </w:pPr>
    </w:p>
    <w:p w14:paraId="30D2CBDF" w14:textId="77777777" w:rsidR="00FB656D" w:rsidRPr="00C03C94" w:rsidRDefault="00FB656D" w:rsidP="00AB523F">
      <w:pPr>
        <w:pStyle w:val="ListParagraph"/>
        <w:widowControl/>
        <w:numPr>
          <w:ilvl w:val="0"/>
          <w:numId w:val="40"/>
        </w:numPr>
        <w:spacing w:after="160" w:line="252" w:lineRule="auto"/>
        <w:contextualSpacing/>
        <w:jc w:val="both"/>
        <w:rPr>
          <w:rFonts w:ascii="Arial" w:hAnsi="Arial" w:cs="Arial"/>
        </w:rPr>
      </w:pPr>
      <w:r w:rsidRPr="00C03C94">
        <w:rPr>
          <w:rFonts w:ascii="Arial" w:hAnsi="Arial" w:cs="Arial"/>
        </w:rPr>
        <w:t xml:space="preserve">Public sector net borrowing (PSNB) is higher than forecast at Budget 2016 for all future years. This reflects that by 2020-21 receipts are £15 billion lower than previously forecast, as result of lower income tax and National Insurance Contributions (NICs), partly offset by higher corporation and other taxes. Spending is higher by 2020-21 due to previously announced changes in welfare spending and higher inflation which offset savings from lower debt interest payments </w:t>
      </w:r>
      <w:r w:rsidRPr="00C03C94">
        <w:rPr>
          <w:rFonts w:ascii="Arial" w:hAnsi="Arial" w:cs="Arial"/>
          <w:i/>
        </w:rPr>
        <w:t>(Page 12, paragraph 1.39).</w:t>
      </w:r>
    </w:p>
    <w:p w14:paraId="21E3E821" w14:textId="77777777" w:rsidR="00FB656D" w:rsidRPr="00C03C94" w:rsidRDefault="00FB656D" w:rsidP="00AB523F">
      <w:pPr>
        <w:pStyle w:val="ListParagraph"/>
        <w:jc w:val="both"/>
        <w:rPr>
          <w:rFonts w:ascii="Arial" w:hAnsi="Arial" w:cs="Arial"/>
        </w:rPr>
      </w:pPr>
    </w:p>
    <w:p w14:paraId="3F4D03B8" w14:textId="38E2F81B" w:rsidR="00FB656D" w:rsidRPr="0002051F" w:rsidRDefault="00FB656D" w:rsidP="00022A88">
      <w:pPr>
        <w:pStyle w:val="ListParagraph"/>
        <w:widowControl/>
        <w:numPr>
          <w:ilvl w:val="0"/>
          <w:numId w:val="40"/>
        </w:numPr>
        <w:spacing w:after="160" w:line="252" w:lineRule="auto"/>
        <w:contextualSpacing/>
        <w:jc w:val="both"/>
        <w:rPr>
          <w:rFonts w:ascii="Arial" w:hAnsi="Arial" w:cs="Arial"/>
        </w:rPr>
      </w:pPr>
      <w:r w:rsidRPr="0002051F">
        <w:rPr>
          <w:rFonts w:ascii="Arial" w:hAnsi="Arial" w:cs="Arial"/>
        </w:rPr>
        <w:t xml:space="preserve">The table below shows the changes in the borrowing forecast since the Budget announcement in March 2016 </w:t>
      </w:r>
      <w:r w:rsidRPr="0002051F">
        <w:rPr>
          <w:rFonts w:ascii="Arial" w:hAnsi="Arial" w:cs="Arial"/>
          <w:i/>
        </w:rPr>
        <w:t>(Page 17, Table 1.3).</w:t>
      </w:r>
    </w:p>
    <w:tbl>
      <w:tblPr>
        <w:tblW w:w="9498" w:type="dxa"/>
        <w:tblLook w:val="04A0" w:firstRow="1" w:lastRow="0" w:firstColumn="1" w:lastColumn="0" w:noHBand="0" w:noVBand="1"/>
      </w:tblPr>
      <w:tblGrid>
        <w:gridCol w:w="2578"/>
        <w:gridCol w:w="953"/>
        <w:gridCol w:w="961"/>
        <w:gridCol w:w="956"/>
        <w:gridCol w:w="1018"/>
        <w:gridCol w:w="970"/>
        <w:gridCol w:w="1069"/>
        <w:gridCol w:w="993"/>
      </w:tblGrid>
      <w:tr w:rsidR="0002051F" w:rsidRPr="002B59A9" w14:paraId="233A4C45" w14:textId="77777777" w:rsidTr="00FE7C44">
        <w:trPr>
          <w:trHeight w:val="325"/>
        </w:trPr>
        <w:tc>
          <w:tcPr>
            <w:tcW w:w="2578" w:type="dxa"/>
            <w:tcBorders>
              <w:top w:val="nil"/>
              <w:left w:val="nil"/>
              <w:bottom w:val="nil"/>
              <w:right w:val="nil"/>
            </w:tcBorders>
            <w:shd w:val="clear" w:color="000000" w:fill="D9D9D9"/>
            <w:noWrap/>
            <w:vAlign w:val="bottom"/>
            <w:hideMark/>
          </w:tcPr>
          <w:p w14:paraId="50EAB7C1" w14:textId="77777777" w:rsidR="0002051F" w:rsidRPr="002B59A9" w:rsidRDefault="0002051F" w:rsidP="00FE7C44">
            <w:pPr>
              <w:spacing w:line="240" w:lineRule="auto"/>
              <w:rPr>
                <w:rFonts w:ascii="Arial" w:hAnsi="Arial" w:cs="Arial"/>
                <w:color w:val="000000"/>
                <w:lang w:eastAsia="en-GB"/>
              </w:rPr>
            </w:pPr>
            <w:r w:rsidRPr="002B59A9">
              <w:rPr>
                <w:rFonts w:ascii="Arial" w:hAnsi="Arial" w:cs="Arial"/>
                <w:color w:val="000000"/>
                <w:lang w:eastAsia="en-GB"/>
              </w:rPr>
              <w:t> </w:t>
            </w:r>
          </w:p>
        </w:tc>
        <w:tc>
          <w:tcPr>
            <w:tcW w:w="953" w:type="dxa"/>
            <w:tcBorders>
              <w:top w:val="nil"/>
              <w:left w:val="nil"/>
              <w:bottom w:val="nil"/>
              <w:right w:val="nil"/>
            </w:tcBorders>
            <w:shd w:val="clear" w:color="000000" w:fill="D9D9D9"/>
            <w:noWrap/>
            <w:vAlign w:val="bottom"/>
            <w:hideMark/>
          </w:tcPr>
          <w:p w14:paraId="579847FF"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2015-16</w:t>
            </w:r>
          </w:p>
        </w:tc>
        <w:tc>
          <w:tcPr>
            <w:tcW w:w="961" w:type="dxa"/>
            <w:tcBorders>
              <w:top w:val="nil"/>
              <w:left w:val="nil"/>
              <w:bottom w:val="nil"/>
              <w:right w:val="nil"/>
            </w:tcBorders>
            <w:shd w:val="clear" w:color="000000" w:fill="D9D9D9"/>
            <w:noWrap/>
            <w:vAlign w:val="bottom"/>
            <w:hideMark/>
          </w:tcPr>
          <w:p w14:paraId="080ED629"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2016-17</w:t>
            </w:r>
          </w:p>
        </w:tc>
        <w:tc>
          <w:tcPr>
            <w:tcW w:w="956" w:type="dxa"/>
            <w:tcBorders>
              <w:top w:val="nil"/>
              <w:left w:val="nil"/>
              <w:bottom w:val="nil"/>
              <w:right w:val="nil"/>
            </w:tcBorders>
            <w:shd w:val="clear" w:color="000000" w:fill="D9D9D9"/>
            <w:noWrap/>
            <w:vAlign w:val="bottom"/>
            <w:hideMark/>
          </w:tcPr>
          <w:p w14:paraId="3C3A922D"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2017-18</w:t>
            </w:r>
          </w:p>
        </w:tc>
        <w:tc>
          <w:tcPr>
            <w:tcW w:w="1018" w:type="dxa"/>
            <w:tcBorders>
              <w:top w:val="nil"/>
              <w:left w:val="nil"/>
              <w:bottom w:val="nil"/>
              <w:right w:val="nil"/>
            </w:tcBorders>
            <w:shd w:val="clear" w:color="000000" w:fill="D9D9D9"/>
            <w:noWrap/>
            <w:vAlign w:val="bottom"/>
            <w:hideMark/>
          </w:tcPr>
          <w:p w14:paraId="2E06936D"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2018-19</w:t>
            </w:r>
          </w:p>
        </w:tc>
        <w:tc>
          <w:tcPr>
            <w:tcW w:w="970" w:type="dxa"/>
            <w:tcBorders>
              <w:top w:val="nil"/>
              <w:left w:val="nil"/>
              <w:bottom w:val="nil"/>
              <w:right w:val="nil"/>
            </w:tcBorders>
            <w:shd w:val="clear" w:color="000000" w:fill="D9D9D9"/>
            <w:noWrap/>
            <w:vAlign w:val="bottom"/>
            <w:hideMark/>
          </w:tcPr>
          <w:p w14:paraId="4D529696"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2019-20</w:t>
            </w:r>
          </w:p>
        </w:tc>
        <w:tc>
          <w:tcPr>
            <w:tcW w:w="1069" w:type="dxa"/>
            <w:tcBorders>
              <w:top w:val="nil"/>
              <w:left w:val="nil"/>
              <w:bottom w:val="nil"/>
              <w:right w:val="nil"/>
            </w:tcBorders>
            <w:shd w:val="clear" w:color="000000" w:fill="D9D9D9"/>
            <w:noWrap/>
            <w:vAlign w:val="bottom"/>
            <w:hideMark/>
          </w:tcPr>
          <w:p w14:paraId="7467D819"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2020-21</w:t>
            </w:r>
          </w:p>
        </w:tc>
        <w:tc>
          <w:tcPr>
            <w:tcW w:w="993" w:type="dxa"/>
            <w:tcBorders>
              <w:top w:val="nil"/>
              <w:left w:val="nil"/>
              <w:bottom w:val="nil"/>
              <w:right w:val="nil"/>
            </w:tcBorders>
            <w:shd w:val="clear" w:color="000000" w:fill="D9D9D9"/>
            <w:noWrap/>
            <w:vAlign w:val="bottom"/>
            <w:hideMark/>
          </w:tcPr>
          <w:p w14:paraId="4EDA2E98"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2021-22</w:t>
            </w:r>
          </w:p>
        </w:tc>
      </w:tr>
      <w:tr w:rsidR="0002051F" w:rsidRPr="002B59A9" w14:paraId="13F9EF5E" w14:textId="77777777" w:rsidTr="00FE7C44">
        <w:trPr>
          <w:trHeight w:val="341"/>
        </w:trPr>
        <w:tc>
          <w:tcPr>
            <w:tcW w:w="2578" w:type="dxa"/>
            <w:tcBorders>
              <w:top w:val="nil"/>
              <w:left w:val="nil"/>
              <w:bottom w:val="single" w:sz="8" w:space="0" w:color="auto"/>
              <w:right w:val="nil"/>
            </w:tcBorders>
            <w:shd w:val="clear" w:color="000000" w:fill="D9D9D9"/>
            <w:noWrap/>
            <w:vAlign w:val="bottom"/>
            <w:hideMark/>
          </w:tcPr>
          <w:p w14:paraId="0E8CBEBF" w14:textId="77777777" w:rsidR="0002051F" w:rsidRPr="002B59A9" w:rsidRDefault="0002051F" w:rsidP="00FE7C44">
            <w:pPr>
              <w:spacing w:line="240" w:lineRule="auto"/>
              <w:rPr>
                <w:rFonts w:ascii="Arial" w:hAnsi="Arial" w:cs="Arial"/>
                <w:color w:val="000000"/>
                <w:lang w:eastAsia="en-GB"/>
              </w:rPr>
            </w:pPr>
            <w:r w:rsidRPr="002B59A9">
              <w:rPr>
                <w:rFonts w:ascii="Arial" w:hAnsi="Arial" w:cs="Arial"/>
                <w:color w:val="000000"/>
                <w:lang w:eastAsia="en-GB"/>
              </w:rPr>
              <w:t> </w:t>
            </w:r>
          </w:p>
        </w:tc>
        <w:tc>
          <w:tcPr>
            <w:tcW w:w="953" w:type="dxa"/>
            <w:tcBorders>
              <w:top w:val="nil"/>
              <w:left w:val="nil"/>
              <w:bottom w:val="single" w:sz="8" w:space="0" w:color="auto"/>
              <w:right w:val="nil"/>
            </w:tcBorders>
            <w:shd w:val="clear" w:color="000000" w:fill="D9D9D9"/>
            <w:noWrap/>
            <w:vAlign w:val="bottom"/>
            <w:hideMark/>
          </w:tcPr>
          <w:p w14:paraId="487E6A65" w14:textId="77777777" w:rsidR="0002051F" w:rsidRPr="002B59A9" w:rsidRDefault="0002051F" w:rsidP="00FE7C44">
            <w:pPr>
              <w:spacing w:line="240" w:lineRule="auto"/>
              <w:rPr>
                <w:rFonts w:ascii="Arial" w:hAnsi="Arial" w:cs="Arial"/>
                <w:color w:val="000000"/>
                <w:lang w:eastAsia="en-GB"/>
              </w:rPr>
            </w:pPr>
            <w:r w:rsidRPr="002B59A9">
              <w:rPr>
                <w:rFonts w:ascii="Arial" w:hAnsi="Arial" w:cs="Arial"/>
                <w:color w:val="000000"/>
                <w:lang w:eastAsia="en-GB"/>
              </w:rPr>
              <w:t> </w:t>
            </w:r>
          </w:p>
        </w:tc>
        <w:tc>
          <w:tcPr>
            <w:tcW w:w="4974" w:type="dxa"/>
            <w:gridSpan w:val="5"/>
            <w:tcBorders>
              <w:top w:val="nil"/>
              <w:left w:val="nil"/>
              <w:bottom w:val="single" w:sz="8" w:space="0" w:color="auto"/>
              <w:right w:val="nil"/>
            </w:tcBorders>
            <w:shd w:val="clear" w:color="000000" w:fill="D9D9D9"/>
            <w:noWrap/>
            <w:vAlign w:val="bottom"/>
            <w:hideMark/>
          </w:tcPr>
          <w:p w14:paraId="34C489B2" w14:textId="77777777" w:rsidR="0002051F" w:rsidRPr="002B59A9" w:rsidRDefault="0002051F" w:rsidP="00FE7C44">
            <w:pPr>
              <w:spacing w:line="240" w:lineRule="auto"/>
              <w:jc w:val="center"/>
              <w:rPr>
                <w:rFonts w:ascii="Calibri" w:hAnsi="Calibri" w:cs="Arial"/>
                <w:color w:val="000000"/>
                <w:lang w:eastAsia="en-GB"/>
              </w:rPr>
            </w:pPr>
            <w:r w:rsidRPr="002B59A9">
              <w:rPr>
                <w:rFonts w:ascii="Calibri" w:hAnsi="Calibri" w:cs="Arial"/>
                <w:color w:val="000000"/>
                <w:lang w:eastAsia="en-GB"/>
              </w:rPr>
              <w:t>£ billion</w:t>
            </w:r>
          </w:p>
        </w:tc>
        <w:tc>
          <w:tcPr>
            <w:tcW w:w="993" w:type="dxa"/>
            <w:tcBorders>
              <w:top w:val="nil"/>
              <w:left w:val="nil"/>
              <w:bottom w:val="single" w:sz="8" w:space="0" w:color="auto"/>
              <w:right w:val="nil"/>
            </w:tcBorders>
            <w:shd w:val="clear" w:color="000000" w:fill="D9D9D9"/>
            <w:noWrap/>
            <w:vAlign w:val="bottom"/>
            <w:hideMark/>
          </w:tcPr>
          <w:p w14:paraId="72E345CE" w14:textId="77777777" w:rsidR="0002051F" w:rsidRPr="002B59A9" w:rsidRDefault="0002051F" w:rsidP="00FE7C44">
            <w:pPr>
              <w:spacing w:line="240" w:lineRule="auto"/>
              <w:rPr>
                <w:rFonts w:ascii="Arial" w:hAnsi="Arial" w:cs="Arial"/>
                <w:color w:val="000000"/>
                <w:lang w:eastAsia="en-GB"/>
              </w:rPr>
            </w:pPr>
            <w:r w:rsidRPr="002B59A9">
              <w:rPr>
                <w:rFonts w:ascii="Arial" w:hAnsi="Arial" w:cs="Arial"/>
                <w:color w:val="000000"/>
                <w:lang w:eastAsia="en-GB"/>
              </w:rPr>
              <w:t> </w:t>
            </w:r>
          </w:p>
        </w:tc>
      </w:tr>
      <w:tr w:rsidR="0002051F" w:rsidRPr="002B59A9" w14:paraId="027241FC" w14:textId="77777777" w:rsidTr="00FE7C44">
        <w:trPr>
          <w:trHeight w:val="325"/>
        </w:trPr>
        <w:tc>
          <w:tcPr>
            <w:tcW w:w="2578" w:type="dxa"/>
            <w:tcBorders>
              <w:top w:val="nil"/>
              <w:left w:val="nil"/>
              <w:bottom w:val="single" w:sz="4" w:space="0" w:color="auto"/>
              <w:right w:val="nil"/>
            </w:tcBorders>
            <w:shd w:val="clear" w:color="000000" w:fill="FFFFFF"/>
            <w:vAlign w:val="bottom"/>
            <w:hideMark/>
          </w:tcPr>
          <w:p w14:paraId="7660A29E" w14:textId="77777777" w:rsidR="0002051F" w:rsidRPr="002B59A9" w:rsidRDefault="0002051F" w:rsidP="00FE7C44">
            <w:pPr>
              <w:spacing w:line="240" w:lineRule="auto"/>
              <w:rPr>
                <w:rFonts w:ascii="Calibri" w:hAnsi="Calibri" w:cs="Arial"/>
                <w:b/>
                <w:bCs/>
                <w:color w:val="000000"/>
                <w:lang w:eastAsia="en-GB"/>
              </w:rPr>
            </w:pPr>
            <w:r w:rsidRPr="002B59A9">
              <w:rPr>
                <w:rFonts w:ascii="Calibri" w:hAnsi="Calibri" w:cs="Arial"/>
                <w:b/>
                <w:bCs/>
                <w:color w:val="000000"/>
                <w:lang w:eastAsia="en-GB"/>
              </w:rPr>
              <w:t>Budget 2016 Borrowing / (Surplus) Forecast</w:t>
            </w:r>
          </w:p>
        </w:tc>
        <w:tc>
          <w:tcPr>
            <w:tcW w:w="953" w:type="dxa"/>
            <w:tcBorders>
              <w:top w:val="nil"/>
              <w:left w:val="nil"/>
              <w:bottom w:val="single" w:sz="4" w:space="0" w:color="auto"/>
              <w:right w:val="nil"/>
            </w:tcBorders>
            <w:shd w:val="clear" w:color="000000" w:fill="FFFFFF"/>
            <w:noWrap/>
            <w:vAlign w:val="center"/>
            <w:hideMark/>
          </w:tcPr>
          <w:p w14:paraId="744B6D73"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72.2</w:t>
            </w:r>
          </w:p>
        </w:tc>
        <w:tc>
          <w:tcPr>
            <w:tcW w:w="961" w:type="dxa"/>
            <w:tcBorders>
              <w:top w:val="nil"/>
              <w:left w:val="nil"/>
              <w:bottom w:val="single" w:sz="4" w:space="0" w:color="auto"/>
              <w:right w:val="nil"/>
            </w:tcBorders>
            <w:shd w:val="clear" w:color="000000" w:fill="FFFFFF"/>
            <w:noWrap/>
            <w:vAlign w:val="center"/>
            <w:hideMark/>
          </w:tcPr>
          <w:p w14:paraId="0CB2BDE8"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55.5</w:t>
            </w:r>
          </w:p>
        </w:tc>
        <w:tc>
          <w:tcPr>
            <w:tcW w:w="956" w:type="dxa"/>
            <w:tcBorders>
              <w:top w:val="nil"/>
              <w:left w:val="nil"/>
              <w:bottom w:val="single" w:sz="4" w:space="0" w:color="auto"/>
              <w:right w:val="nil"/>
            </w:tcBorders>
            <w:shd w:val="clear" w:color="000000" w:fill="FFFFFF"/>
            <w:noWrap/>
            <w:vAlign w:val="center"/>
            <w:hideMark/>
          </w:tcPr>
          <w:p w14:paraId="402C1AC3"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38.8</w:t>
            </w:r>
          </w:p>
        </w:tc>
        <w:tc>
          <w:tcPr>
            <w:tcW w:w="1018" w:type="dxa"/>
            <w:tcBorders>
              <w:top w:val="nil"/>
              <w:left w:val="nil"/>
              <w:bottom w:val="single" w:sz="4" w:space="0" w:color="auto"/>
              <w:right w:val="nil"/>
            </w:tcBorders>
            <w:shd w:val="clear" w:color="000000" w:fill="FFFFFF"/>
            <w:noWrap/>
            <w:vAlign w:val="center"/>
            <w:hideMark/>
          </w:tcPr>
          <w:p w14:paraId="770B8E7E"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21.4</w:t>
            </w:r>
          </w:p>
        </w:tc>
        <w:tc>
          <w:tcPr>
            <w:tcW w:w="970" w:type="dxa"/>
            <w:tcBorders>
              <w:top w:val="nil"/>
              <w:left w:val="nil"/>
              <w:bottom w:val="single" w:sz="4" w:space="0" w:color="auto"/>
              <w:right w:val="nil"/>
            </w:tcBorders>
            <w:shd w:val="clear" w:color="000000" w:fill="FFFFFF"/>
            <w:noWrap/>
            <w:vAlign w:val="center"/>
            <w:hideMark/>
          </w:tcPr>
          <w:p w14:paraId="116667F2"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-10.4</w:t>
            </w:r>
          </w:p>
        </w:tc>
        <w:tc>
          <w:tcPr>
            <w:tcW w:w="1069" w:type="dxa"/>
            <w:tcBorders>
              <w:top w:val="nil"/>
              <w:left w:val="nil"/>
              <w:bottom w:val="single" w:sz="4" w:space="0" w:color="auto"/>
              <w:right w:val="nil"/>
            </w:tcBorders>
            <w:shd w:val="clear" w:color="000000" w:fill="FFFFFF"/>
            <w:noWrap/>
            <w:vAlign w:val="center"/>
            <w:hideMark/>
          </w:tcPr>
          <w:p w14:paraId="20AE5F3F"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-11.0</w:t>
            </w:r>
          </w:p>
        </w:tc>
        <w:tc>
          <w:tcPr>
            <w:tcW w:w="993" w:type="dxa"/>
            <w:tcBorders>
              <w:top w:val="nil"/>
              <w:left w:val="nil"/>
              <w:bottom w:val="single" w:sz="4" w:space="0" w:color="auto"/>
              <w:right w:val="nil"/>
            </w:tcBorders>
            <w:shd w:val="clear" w:color="000000" w:fill="FFFFFF"/>
            <w:noWrap/>
            <w:vAlign w:val="center"/>
            <w:hideMark/>
          </w:tcPr>
          <w:p w14:paraId="5C88AD6E"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n/a</w:t>
            </w:r>
          </w:p>
        </w:tc>
      </w:tr>
      <w:tr w:rsidR="0002051F" w:rsidRPr="002B59A9" w14:paraId="62E6CFE5" w14:textId="77777777" w:rsidTr="00FE7C44">
        <w:trPr>
          <w:trHeight w:val="325"/>
        </w:trPr>
        <w:tc>
          <w:tcPr>
            <w:tcW w:w="2578" w:type="dxa"/>
            <w:tcBorders>
              <w:top w:val="nil"/>
              <w:left w:val="nil"/>
              <w:bottom w:val="nil"/>
              <w:right w:val="nil"/>
            </w:tcBorders>
            <w:shd w:val="clear" w:color="000000" w:fill="FFFFFF"/>
            <w:vAlign w:val="bottom"/>
            <w:hideMark/>
          </w:tcPr>
          <w:p w14:paraId="745A1F09" w14:textId="77777777" w:rsidR="0002051F" w:rsidRPr="002B59A9" w:rsidRDefault="0002051F" w:rsidP="00FE7C44">
            <w:pPr>
              <w:spacing w:line="240" w:lineRule="auto"/>
              <w:rPr>
                <w:rFonts w:ascii="Calibri" w:hAnsi="Calibri" w:cs="Arial"/>
                <w:color w:val="000000"/>
                <w:lang w:eastAsia="en-GB"/>
              </w:rPr>
            </w:pPr>
            <w:r w:rsidRPr="002B59A9">
              <w:rPr>
                <w:rFonts w:ascii="Calibri" w:hAnsi="Calibri" w:cs="Arial"/>
                <w:color w:val="000000"/>
                <w:lang w:eastAsia="en-GB"/>
              </w:rPr>
              <w:t>Classification changes</w:t>
            </w:r>
          </w:p>
        </w:tc>
        <w:tc>
          <w:tcPr>
            <w:tcW w:w="953" w:type="dxa"/>
            <w:tcBorders>
              <w:top w:val="nil"/>
              <w:left w:val="nil"/>
              <w:bottom w:val="nil"/>
              <w:right w:val="nil"/>
            </w:tcBorders>
            <w:shd w:val="clear" w:color="000000" w:fill="FFFFFF"/>
            <w:noWrap/>
            <w:vAlign w:val="center"/>
            <w:hideMark/>
          </w:tcPr>
          <w:p w14:paraId="406588D8"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n/a</w:t>
            </w:r>
          </w:p>
        </w:tc>
        <w:tc>
          <w:tcPr>
            <w:tcW w:w="961" w:type="dxa"/>
            <w:tcBorders>
              <w:top w:val="nil"/>
              <w:left w:val="nil"/>
              <w:bottom w:val="nil"/>
              <w:right w:val="nil"/>
            </w:tcBorders>
            <w:shd w:val="clear" w:color="000000" w:fill="FFFFFF"/>
            <w:noWrap/>
            <w:vAlign w:val="center"/>
            <w:hideMark/>
          </w:tcPr>
          <w:p w14:paraId="123F9885"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0.5</w:t>
            </w:r>
          </w:p>
        </w:tc>
        <w:tc>
          <w:tcPr>
            <w:tcW w:w="956" w:type="dxa"/>
            <w:tcBorders>
              <w:top w:val="nil"/>
              <w:left w:val="nil"/>
              <w:bottom w:val="nil"/>
              <w:right w:val="nil"/>
            </w:tcBorders>
            <w:shd w:val="clear" w:color="000000" w:fill="FFFFFF"/>
            <w:noWrap/>
            <w:vAlign w:val="center"/>
            <w:hideMark/>
          </w:tcPr>
          <w:p w14:paraId="2CCAD5D3"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0.4</w:t>
            </w:r>
          </w:p>
        </w:tc>
        <w:tc>
          <w:tcPr>
            <w:tcW w:w="1018" w:type="dxa"/>
            <w:tcBorders>
              <w:top w:val="nil"/>
              <w:left w:val="nil"/>
              <w:bottom w:val="nil"/>
              <w:right w:val="nil"/>
            </w:tcBorders>
            <w:shd w:val="clear" w:color="000000" w:fill="FFFFFF"/>
            <w:noWrap/>
            <w:vAlign w:val="center"/>
            <w:hideMark/>
          </w:tcPr>
          <w:p w14:paraId="7C79B945"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0.5</w:t>
            </w:r>
          </w:p>
        </w:tc>
        <w:tc>
          <w:tcPr>
            <w:tcW w:w="970" w:type="dxa"/>
            <w:tcBorders>
              <w:top w:val="nil"/>
              <w:left w:val="nil"/>
              <w:bottom w:val="nil"/>
              <w:right w:val="nil"/>
            </w:tcBorders>
            <w:shd w:val="clear" w:color="000000" w:fill="FFFFFF"/>
            <w:noWrap/>
            <w:vAlign w:val="center"/>
            <w:hideMark/>
          </w:tcPr>
          <w:p w14:paraId="64C5800E"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6.4</w:t>
            </w:r>
          </w:p>
        </w:tc>
        <w:tc>
          <w:tcPr>
            <w:tcW w:w="1069" w:type="dxa"/>
            <w:tcBorders>
              <w:top w:val="nil"/>
              <w:left w:val="nil"/>
              <w:bottom w:val="nil"/>
              <w:right w:val="nil"/>
            </w:tcBorders>
            <w:shd w:val="clear" w:color="000000" w:fill="FFFFFF"/>
            <w:noWrap/>
            <w:vAlign w:val="center"/>
            <w:hideMark/>
          </w:tcPr>
          <w:p w14:paraId="07CE79D2"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4.1</w:t>
            </w:r>
          </w:p>
        </w:tc>
        <w:tc>
          <w:tcPr>
            <w:tcW w:w="993" w:type="dxa"/>
            <w:tcBorders>
              <w:top w:val="nil"/>
              <w:left w:val="nil"/>
              <w:bottom w:val="nil"/>
              <w:right w:val="nil"/>
            </w:tcBorders>
            <w:shd w:val="clear" w:color="000000" w:fill="FFFFFF"/>
            <w:noWrap/>
            <w:vAlign w:val="center"/>
            <w:hideMark/>
          </w:tcPr>
          <w:p w14:paraId="172433E0"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n/a</w:t>
            </w:r>
          </w:p>
        </w:tc>
      </w:tr>
      <w:tr w:rsidR="0002051F" w:rsidRPr="002B59A9" w14:paraId="4AB1740F" w14:textId="77777777" w:rsidTr="00FE7C44">
        <w:trPr>
          <w:trHeight w:val="325"/>
        </w:trPr>
        <w:tc>
          <w:tcPr>
            <w:tcW w:w="2578" w:type="dxa"/>
            <w:tcBorders>
              <w:top w:val="single" w:sz="4" w:space="0" w:color="auto"/>
              <w:left w:val="nil"/>
              <w:bottom w:val="single" w:sz="4" w:space="0" w:color="auto"/>
              <w:right w:val="nil"/>
            </w:tcBorders>
            <w:shd w:val="clear" w:color="000000" w:fill="FFFFFF"/>
            <w:vAlign w:val="bottom"/>
            <w:hideMark/>
          </w:tcPr>
          <w:p w14:paraId="4BC274E2" w14:textId="77777777" w:rsidR="0002051F" w:rsidRPr="002B59A9" w:rsidRDefault="0002051F" w:rsidP="00FE7C44">
            <w:pPr>
              <w:spacing w:line="240" w:lineRule="auto"/>
              <w:rPr>
                <w:rFonts w:ascii="Calibri" w:hAnsi="Calibri" w:cs="Arial"/>
                <w:color w:val="000000"/>
                <w:lang w:eastAsia="en-GB"/>
              </w:rPr>
            </w:pPr>
            <w:r w:rsidRPr="002B59A9">
              <w:rPr>
                <w:rFonts w:ascii="Calibri" w:hAnsi="Calibri" w:cs="Arial"/>
                <w:color w:val="000000"/>
                <w:lang w:eastAsia="en-GB"/>
              </w:rPr>
              <w:t>Forecast Changes</w:t>
            </w:r>
          </w:p>
        </w:tc>
        <w:tc>
          <w:tcPr>
            <w:tcW w:w="953" w:type="dxa"/>
            <w:tcBorders>
              <w:top w:val="single" w:sz="4" w:space="0" w:color="auto"/>
              <w:left w:val="nil"/>
              <w:bottom w:val="single" w:sz="4" w:space="0" w:color="auto"/>
              <w:right w:val="nil"/>
            </w:tcBorders>
            <w:shd w:val="clear" w:color="000000" w:fill="FFFFFF"/>
            <w:noWrap/>
            <w:vAlign w:val="center"/>
            <w:hideMark/>
          </w:tcPr>
          <w:p w14:paraId="7E0AE321"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3.9</w:t>
            </w:r>
          </w:p>
        </w:tc>
        <w:tc>
          <w:tcPr>
            <w:tcW w:w="961" w:type="dxa"/>
            <w:tcBorders>
              <w:top w:val="single" w:sz="4" w:space="0" w:color="auto"/>
              <w:left w:val="nil"/>
              <w:bottom w:val="single" w:sz="4" w:space="0" w:color="auto"/>
              <w:right w:val="nil"/>
            </w:tcBorders>
            <w:shd w:val="clear" w:color="000000" w:fill="FFFFFF"/>
            <w:noWrap/>
            <w:vAlign w:val="center"/>
            <w:hideMark/>
          </w:tcPr>
          <w:p w14:paraId="02B871D0"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11.2</w:t>
            </w:r>
          </w:p>
        </w:tc>
        <w:tc>
          <w:tcPr>
            <w:tcW w:w="956" w:type="dxa"/>
            <w:tcBorders>
              <w:top w:val="single" w:sz="4" w:space="0" w:color="auto"/>
              <w:left w:val="nil"/>
              <w:bottom w:val="single" w:sz="4" w:space="0" w:color="auto"/>
              <w:right w:val="nil"/>
            </w:tcBorders>
            <w:shd w:val="clear" w:color="000000" w:fill="FFFFFF"/>
            <w:noWrap/>
            <w:vAlign w:val="center"/>
            <w:hideMark/>
          </w:tcPr>
          <w:p w14:paraId="78F2DFBF"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17.2</w:t>
            </w:r>
          </w:p>
        </w:tc>
        <w:tc>
          <w:tcPr>
            <w:tcW w:w="1018" w:type="dxa"/>
            <w:tcBorders>
              <w:top w:val="single" w:sz="4" w:space="0" w:color="auto"/>
              <w:left w:val="nil"/>
              <w:bottom w:val="single" w:sz="4" w:space="0" w:color="auto"/>
              <w:right w:val="nil"/>
            </w:tcBorders>
            <w:shd w:val="clear" w:color="000000" w:fill="FFFFFF"/>
            <w:noWrap/>
            <w:vAlign w:val="center"/>
            <w:hideMark/>
          </w:tcPr>
          <w:p w14:paraId="187EA285"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20.1</w:t>
            </w:r>
          </w:p>
        </w:tc>
        <w:tc>
          <w:tcPr>
            <w:tcW w:w="970" w:type="dxa"/>
            <w:tcBorders>
              <w:top w:val="single" w:sz="4" w:space="0" w:color="auto"/>
              <w:left w:val="nil"/>
              <w:bottom w:val="single" w:sz="4" w:space="0" w:color="auto"/>
              <w:right w:val="nil"/>
            </w:tcBorders>
            <w:shd w:val="clear" w:color="000000" w:fill="FFFFFF"/>
            <w:noWrap/>
            <w:vAlign w:val="center"/>
            <w:hideMark/>
          </w:tcPr>
          <w:p w14:paraId="4D2D83BC"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17.7</w:t>
            </w:r>
          </w:p>
        </w:tc>
        <w:tc>
          <w:tcPr>
            <w:tcW w:w="1069" w:type="dxa"/>
            <w:tcBorders>
              <w:top w:val="single" w:sz="4" w:space="0" w:color="auto"/>
              <w:left w:val="nil"/>
              <w:bottom w:val="single" w:sz="4" w:space="0" w:color="auto"/>
              <w:right w:val="nil"/>
            </w:tcBorders>
            <w:shd w:val="clear" w:color="000000" w:fill="FFFFFF"/>
            <w:noWrap/>
            <w:vAlign w:val="center"/>
            <w:hideMark/>
          </w:tcPr>
          <w:p w14:paraId="66239EB5"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18.1</w:t>
            </w:r>
          </w:p>
        </w:tc>
        <w:tc>
          <w:tcPr>
            <w:tcW w:w="993" w:type="dxa"/>
            <w:tcBorders>
              <w:top w:val="single" w:sz="4" w:space="0" w:color="auto"/>
              <w:left w:val="nil"/>
              <w:bottom w:val="single" w:sz="4" w:space="0" w:color="auto"/>
              <w:right w:val="nil"/>
            </w:tcBorders>
            <w:shd w:val="clear" w:color="000000" w:fill="FFFFFF"/>
            <w:noWrap/>
            <w:vAlign w:val="center"/>
            <w:hideMark/>
          </w:tcPr>
          <w:p w14:paraId="7F8C76AB"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n/a</w:t>
            </w:r>
          </w:p>
        </w:tc>
      </w:tr>
      <w:tr w:rsidR="0002051F" w:rsidRPr="002B59A9" w14:paraId="30B4A9AB" w14:textId="77777777" w:rsidTr="00FE7C44">
        <w:trPr>
          <w:trHeight w:val="325"/>
        </w:trPr>
        <w:tc>
          <w:tcPr>
            <w:tcW w:w="2578" w:type="dxa"/>
            <w:tcBorders>
              <w:top w:val="nil"/>
              <w:left w:val="nil"/>
              <w:bottom w:val="nil"/>
              <w:right w:val="nil"/>
            </w:tcBorders>
            <w:shd w:val="clear" w:color="000000" w:fill="FFFFFF"/>
            <w:vAlign w:val="bottom"/>
            <w:hideMark/>
          </w:tcPr>
          <w:p w14:paraId="14BE39B2" w14:textId="77777777" w:rsidR="0002051F" w:rsidRPr="002B59A9" w:rsidRDefault="0002051F" w:rsidP="00FE7C44">
            <w:pPr>
              <w:spacing w:line="240" w:lineRule="auto"/>
              <w:rPr>
                <w:rFonts w:ascii="Calibri" w:hAnsi="Calibri" w:cs="Arial"/>
                <w:i/>
                <w:iCs/>
                <w:color w:val="000000"/>
                <w:lang w:eastAsia="en-GB"/>
              </w:rPr>
            </w:pPr>
            <w:r w:rsidRPr="002B59A9">
              <w:rPr>
                <w:rFonts w:ascii="Calibri" w:hAnsi="Calibri" w:cs="Arial"/>
                <w:i/>
                <w:iCs/>
                <w:color w:val="000000"/>
                <w:lang w:eastAsia="en-GB"/>
              </w:rPr>
              <w:t>of which receipts</w:t>
            </w:r>
          </w:p>
        </w:tc>
        <w:tc>
          <w:tcPr>
            <w:tcW w:w="953" w:type="dxa"/>
            <w:tcBorders>
              <w:top w:val="nil"/>
              <w:left w:val="nil"/>
              <w:bottom w:val="nil"/>
              <w:right w:val="nil"/>
            </w:tcBorders>
            <w:shd w:val="clear" w:color="000000" w:fill="FFFFFF"/>
            <w:noWrap/>
            <w:vAlign w:val="center"/>
            <w:hideMark/>
          </w:tcPr>
          <w:p w14:paraId="60B817C3"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2.0</w:t>
            </w:r>
          </w:p>
        </w:tc>
        <w:tc>
          <w:tcPr>
            <w:tcW w:w="961" w:type="dxa"/>
            <w:tcBorders>
              <w:top w:val="nil"/>
              <w:left w:val="nil"/>
              <w:bottom w:val="nil"/>
              <w:right w:val="nil"/>
            </w:tcBorders>
            <w:shd w:val="clear" w:color="000000" w:fill="FFFFFF"/>
            <w:noWrap/>
            <w:vAlign w:val="center"/>
            <w:hideMark/>
          </w:tcPr>
          <w:p w14:paraId="1174733A"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6.7</w:t>
            </w:r>
          </w:p>
        </w:tc>
        <w:tc>
          <w:tcPr>
            <w:tcW w:w="956" w:type="dxa"/>
            <w:tcBorders>
              <w:top w:val="nil"/>
              <w:left w:val="nil"/>
              <w:bottom w:val="nil"/>
              <w:right w:val="nil"/>
            </w:tcBorders>
            <w:shd w:val="clear" w:color="000000" w:fill="FFFFFF"/>
            <w:noWrap/>
            <w:vAlign w:val="center"/>
            <w:hideMark/>
          </w:tcPr>
          <w:p w14:paraId="3B753450"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9.3</w:t>
            </w:r>
          </w:p>
        </w:tc>
        <w:tc>
          <w:tcPr>
            <w:tcW w:w="1018" w:type="dxa"/>
            <w:tcBorders>
              <w:top w:val="nil"/>
              <w:left w:val="nil"/>
              <w:bottom w:val="nil"/>
              <w:right w:val="nil"/>
            </w:tcBorders>
            <w:shd w:val="clear" w:color="000000" w:fill="FFFFFF"/>
            <w:noWrap/>
            <w:vAlign w:val="center"/>
            <w:hideMark/>
          </w:tcPr>
          <w:p w14:paraId="1A64BC67"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13.1</w:t>
            </w:r>
          </w:p>
        </w:tc>
        <w:tc>
          <w:tcPr>
            <w:tcW w:w="970" w:type="dxa"/>
            <w:tcBorders>
              <w:top w:val="nil"/>
              <w:left w:val="nil"/>
              <w:bottom w:val="nil"/>
              <w:right w:val="nil"/>
            </w:tcBorders>
            <w:shd w:val="clear" w:color="000000" w:fill="FFFFFF"/>
            <w:noWrap/>
            <w:vAlign w:val="center"/>
            <w:hideMark/>
          </w:tcPr>
          <w:p w14:paraId="259C7F01"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15.2</w:t>
            </w:r>
          </w:p>
        </w:tc>
        <w:tc>
          <w:tcPr>
            <w:tcW w:w="1069" w:type="dxa"/>
            <w:tcBorders>
              <w:top w:val="nil"/>
              <w:left w:val="nil"/>
              <w:bottom w:val="nil"/>
              <w:right w:val="nil"/>
            </w:tcBorders>
            <w:shd w:val="clear" w:color="000000" w:fill="FFFFFF"/>
            <w:noWrap/>
            <w:vAlign w:val="center"/>
            <w:hideMark/>
          </w:tcPr>
          <w:p w14:paraId="7FC11D0E"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15.3</w:t>
            </w:r>
          </w:p>
        </w:tc>
        <w:tc>
          <w:tcPr>
            <w:tcW w:w="993" w:type="dxa"/>
            <w:tcBorders>
              <w:top w:val="nil"/>
              <w:left w:val="nil"/>
              <w:bottom w:val="nil"/>
              <w:right w:val="nil"/>
            </w:tcBorders>
            <w:shd w:val="clear" w:color="000000" w:fill="FFFFFF"/>
            <w:noWrap/>
            <w:vAlign w:val="center"/>
            <w:hideMark/>
          </w:tcPr>
          <w:p w14:paraId="2E849E2B"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n/a</w:t>
            </w:r>
          </w:p>
        </w:tc>
      </w:tr>
      <w:tr w:rsidR="0002051F" w:rsidRPr="002B59A9" w14:paraId="2CFDF9DA" w14:textId="77777777" w:rsidTr="00FE7C44">
        <w:trPr>
          <w:trHeight w:val="325"/>
        </w:trPr>
        <w:tc>
          <w:tcPr>
            <w:tcW w:w="2578" w:type="dxa"/>
            <w:tcBorders>
              <w:top w:val="nil"/>
              <w:left w:val="nil"/>
              <w:bottom w:val="nil"/>
              <w:right w:val="nil"/>
            </w:tcBorders>
            <w:shd w:val="clear" w:color="000000" w:fill="FFFFFF"/>
            <w:vAlign w:val="bottom"/>
            <w:hideMark/>
          </w:tcPr>
          <w:p w14:paraId="1DDDDAFE" w14:textId="77777777" w:rsidR="0002051F" w:rsidRPr="002B59A9" w:rsidRDefault="0002051F" w:rsidP="00FE7C44">
            <w:pPr>
              <w:spacing w:line="240" w:lineRule="auto"/>
              <w:rPr>
                <w:rFonts w:ascii="Calibri" w:hAnsi="Calibri" w:cs="Arial"/>
                <w:i/>
                <w:iCs/>
                <w:color w:val="000000"/>
                <w:lang w:eastAsia="en-GB"/>
              </w:rPr>
            </w:pPr>
            <w:r w:rsidRPr="002B59A9">
              <w:rPr>
                <w:rFonts w:ascii="Calibri" w:hAnsi="Calibri" w:cs="Arial"/>
                <w:i/>
                <w:iCs/>
                <w:color w:val="000000"/>
                <w:lang w:eastAsia="en-GB"/>
              </w:rPr>
              <w:t>of which debt interest spending</w:t>
            </w:r>
          </w:p>
        </w:tc>
        <w:tc>
          <w:tcPr>
            <w:tcW w:w="953" w:type="dxa"/>
            <w:tcBorders>
              <w:top w:val="nil"/>
              <w:left w:val="nil"/>
              <w:bottom w:val="nil"/>
              <w:right w:val="nil"/>
            </w:tcBorders>
            <w:shd w:val="clear" w:color="000000" w:fill="FFFFFF"/>
            <w:noWrap/>
            <w:vAlign w:val="center"/>
            <w:hideMark/>
          </w:tcPr>
          <w:p w14:paraId="6326FBE4"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-0.7</w:t>
            </w:r>
          </w:p>
        </w:tc>
        <w:tc>
          <w:tcPr>
            <w:tcW w:w="961" w:type="dxa"/>
            <w:tcBorders>
              <w:top w:val="nil"/>
              <w:left w:val="nil"/>
              <w:bottom w:val="nil"/>
              <w:right w:val="nil"/>
            </w:tcBorders>
            <w:shd w:val="clear" w:color="000000" w:fill="FFFFFF"/>
            <w:noWrap/>
            <w:vAlign w:val="center"/>
            <w:hideMark/>
          </w:tcPr>
          <w:p w14:paraId="699A4DD1"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0.8</w:t>
            </w:r>
          </w:p>
        </w:tc>
        <w:tc>
          <w:tcPr>
            <w:tcW w:w="956" w:type="dxa"/>
            <w:tcBorders>
              <w:top w:val="nil"/>
              <w:left w:val="nil"/>
              <w:bottom w:val="nil"/>
              <w:right w:val="nil"/>
            </w:tcBorders>
            <w:shd w:val="clear" w:color="000000" w:fill="FFFFFF"/>
            <w:noWrap/>
            <w:vAlign w:val="center"/>
            <w:hideMark/>
          </w:tcPr>
          <w:p w14:paraId="5FA82BA8"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-0.8</w:t>
            </w:r>
          </w:p>
        </w:tc>
        <w:tc>
          <w:tcPr>
            <w:tcW w:w="1018" w:type="dxa"/>
            <w:tcBorders>
              <w:top w:val="nil"/>
              <w:left w:val="nil"/>
              <w:bottom w:val="nil"/>
              <w:right w:val="nil"/>
            </w:tcBorders>
            <w:shd w:val="clear" w:color="000000" w:fill="FFFFFF"/>
            <w:noWrap/>
            <w:vAlign w:val="center"/>
            <w:hideMark/>
          </w:tcPr>
          <w:p w14:paraId="519FB8FA"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-3.4</w:t>
            </w:r>
          </w:p>
        </w:tc>
        <w:tc>
          <w:tcPr>
            <w:tcW w:w="970" w:type="dxa"/>
            <w:tcBorders>
              <w:top w:val="nil"/>
              <w:left w:val="nil"/>
              <w:bottom w:val="nil"/>
              <w:right w:val="nil"/>
            </w:tcBorders>
            <w:shd w:val="clear" w:color="000000" w:fill="FFFFFF"/>
            <w:noWrap/>
            <w:vAlign w:val="center"/>
            <w:hideMark/>
          </w:tcPr>
          <w:p w14:paraId="77882CB4"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-4.5</w:t>
            </w:r>
          </w:p>
        </w:tc>
        <w:tc>
          <w:tcPr>
            <w:tcW w:w="1069" w:type="dxa"/>
            <w:tcBorders>
              <w:top w:val="nil"/>
              <w:left w:val="nil"/>
              <w:bottom w:val="nil"/>
              <w:right w:val="nil"/>
            </w:tcBorders>
            <w:shd w:val="clear" w:color="000000" w:fill="FFFFFF"/>
            <w:noWrap/>
            <w:vAlign w:val="center"/>
            <w:hideMark/>
          </w:tcPr>
          <w:p w14:paraId="3E27E615"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-4.3</w:t>
            </w:r>
          </w:p>
        </w:tc>
        <w:tc>
          <w:tcPr>
            <w:tcW w:w="993" w:type="dxa"/>
            <w:tcBorders>
              <w:top w:val="nil"/>
              <w:left w:val="nil"/>
              <w:bottom w:val="nil"/>
              <w:right w:val="nil"/>
            </w:tcBorders>
            <w:shd w:val="clear" w:color="000000" w:fill="FFFFFF"/>
            <w:noWrap/>
            <w:vAlign w:val="center"/>
            <w:hideMark/>
          </w:tcPr>
          <w:p w14:paraId="1BB294AA"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n/a</w:t>
            </w:r>
          </w:p>
        </w:tc>
      </w:tr>
      <w:tr w:rsidR="0002051F" w:rsidRPr="002B59A9" w14:paraId="2FA999A5" w14:textId="77777777" w:rsidTr="00FE7C44">
        <w:trPr>
          <w:trHeight w:val="325"/>
        </w:trPr>
        <w:tc>
          <w:tcPr>
            <w:tcW w:w="2578" w:type="dxa"/>
            <w:tcBorders>
              <w:top w:val="nil"/>
              <w:left w:val="nil"/>
              <w:bottom w:val="nil"/>
              <w:right w:val="nil"/>
            </w:tcBorders>
            <w:shd w:val="clear" w:color="000000" w:fill="FFFFFF"/>
            <w:vAlign w:val="bottom"/>
            <w:hideMark/>
          </w:tcPr>
          <w:p w14:paraId="2666ED99" w14:textId="77777777" w:rsidR="0002051F" w:rsidRPr="002B59A9" w:rsidRDefault="0002051F" w:rsidP="00FE7C44">
            <w:pPr>
              <w:spacing w:line="240" w:lineRule="auto"/>
              <w:rPr>
                <w:rFonts w:ascii="Calibri" w:hAnsi="Calibri" w:cs="Arial"/>
                <w:i/>
                <w:iCs/>
                <w:color w:val="000000"/>
                <w:lang w:eastAsia="en-GB"/>
              </w:rPr>
            </w:pPr>
            <w:r w:rsidRPr="002B59A9">
              <w:rPr>
                <w:rFonts w:ascii="Calibri" w:hAnsi="Calibri" w:cs="Arial"/>
                <w:i/>
                <w:iCs/>
                <w:color w:val="000000"/>
                <w:lang w:eastAsia="en-GB"/>
              </w:rPr>
              <w:t>of which other spending</w:t>
            </w:r>
          </w:p>
        </w:tc>
        <w:tc>
          <w:tcPr>
            <w:tcW w:w="953" w:type="dxa"/>
            <w:tcBorders>
              <w:top w:val="nil"/>
              <w:left w:val="nil"/>
              <w:bottom w:val="nil"/>
              <w:right w:val="nil"/>
            </w:tcBorders>
            <w:shd w:val="clear" w:color="000000" w:fill="FFFFFF"/>
            <w:noWrap/>
            <w:vAlign w:val="center"/>
            <w:hideMark/>
          </w:tcPr>
          <w:p w14:paraId="55B5D269"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2.5</w:t>
            </w:r>
          </w:p>
        </w:tc>
        <w:tc>
          <w:tcPr>
            <w:tcW w:w="961" w:type="dxa"/>
            <w:tcBorders>
              <w:top w:val="nil"/>
              <w:left w:val="nil"/>
              <w:bottom w:val="nil"/>
              <w:right w:val="nil"/>
            </w:tcBorders>
            <w:shd w:val="clear" w:color="000000" w:fill="FFFFFF"/>
            <w:noWrap/>
            <w:vAlign w:val="center"/>
            <w:hideMark/>
          </w:tcPr>
          <w:p w14:paraId="3B55D917"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3.7</w:t>
            </w:r>
          </w:p>
        </w:tc>
        <w:tc>
          <w:tcPr>
            <w:tcW w:w="956" w:type="dxa"/>
            <w:tcBorders>
              <w:top w:val="nil"/>
              <w:left w:val="nil"/>
              <w:bottom w:val="nil"/>
              <w:right w:val="nil"/>
            </w:tcBorders>
            <w:shd w:val="clear" w:color="000000" w:fill="FFFFFF"/>
            <w:noWrap/>
            <w:vAlign w:val="center"/>
            <w:hideMark/>
          </w:tcPr>
          <w:p w14:paraId="6776241D"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8.7</w:t>
            </w:r>
          </w:p>
        </w:tc>
        <w:tc>
          <w:tcPr>
            <w:tcW w:w="1018" w:type="dxa"/>
            <w:tcBorders>
              <w:top w:val="nil"/>
              <w:left w:val="nil"/>
              <w:bottom w:val="nil"/>
              <w:right w:val="nil"/>
            </w:tcBorders>
            <w:shd w:val="clear" w:color="000000" w:fill="FFFFFF"/>
            <w:noWrap/>
            <w:vAlign w:val="center"/>
            <w:hideMark/>
          </w:tcPr>
          <w:p w14:paraId="3A5467CB"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10</w:t>
            </w:r>
            <w:r>
              <w:rPr>
                <w:rFonts w:ascii="Calibri" w:hAnsi="Calibri" w:cs="Arial"/>
                <w:i/>
                <w:iCs/>
                <w:color w:val="000000"/>
                <w:lang w:eastAsia="en-GB"/>
              </w:rPr>
              <w:t>.</w:t>
            </w:r>
            <w:r w:rsidRPr="002B59A9">
              <w:rPr>
                <w:rFonts w:ascii="Calibri" w:hAnsi="Calibri" w:cs="Arial"/>
                <w:i/>
                <w:iCs/>
                <w:color w:val="000000"/>
                <w:lang w:eastAsia="en-GB"/>
              </w:rPr>
              <w:t>4</w:t>
            </w:r>
          </w:p>
        </w:tc>
        <w:tc>
          <w:tcPr>
            <w:tcW w:w="970" w:type="dxa"/>
            <w:tcBorders>
              <w:top w:val="nil"/>
              <w:left w:val="nil"/>
              <w:bottom w:val="nil"/>
              <w:right w:val="nil"/>
            </w:tcBorders>
            <w:shd w:val="clear" w:color="000000" w:fill="FFFFFF"/>
            <w:noWrap/>
            <w:vAlign w:val="center"/>
            <w:hideMark/>
          </w:tcPr>
          <w:p w14:paraId="531EA8DE"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6.9</w:t>
            </w:r>
          </w:p>
        </w:tc>
        <w:tc>
          <w:tcPr>
            <w:tcW w:w="1069" w:type="dxa"/>
            <w:tcBorders>
              <w:top w:val="nil"/>
              <w:left w:val="nil"/>
              <w:bottom w:val="nil"/>
              <w:right w:val="nil"/>
            </w:tcBorders>
            <w:shd w:val="clear" w:color="000000" w:fill="FFFFFF"/>
            <w:noWrap/>
            <w:vAlign w:val="center"/>
            <w:hideMark/>
          </w:tcPr>
          <w:p w14:paraId="5A41297C"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7.0</w:t>
            </w:r>
          </w:p>
        </w:tc>
        <w:tc>
          <w:tcPr>
            <w:tcW w:w="993" w:type="dxa"/>
            <w:tcBorders>
              <w:top w:val="nil"/>
              <w:left w:val="nil"/>
              <w:bottom w:val="nil"/>
              <w:right w:val="nil"/>
            </w:tcBorders>
            <w:shd w:val="clear" w:color="000000" w:fill="FFFFFF"/>
            <w:noWrap/>
            <w:vAlign w:val="center"/>
            <w:hideMark/>
          </w:tcPr>
          <w:p w14:paraId="10E155EA" w14:textId="77777777" w:rsidR="0002051F" w:rsidRPr="002B59A9" w:rsidRDefault="0002051F" w:rsidP="00FE7C44">
            <w:pPr>
              <w:spacing w:line="240" w:lineRule="auto"/>
              <w:jc w:val="right"/>
              <w:rPr>
                <w:rFonts w:ascii="Calibri" w:hAnsi="Calibri" w:cs="Arial"/>
                <w:i/>
                <w:iCs/>
                <w:color w:val="000000"/>
                <w:lang w:eastAsia="en-GB"/>
              </w:rPr>
            </w:pPr>
            <w:r w:rsidRPr="002B59A9">
              <w:rPr>
                <w:rFonts w:ascii="Calibri" w:hAnsi="Calibri" w:cs="Arial"/>
                <w:i/>
                <w:iCs/>
                <w:color w:val="000000"/>
                <w:lang w:eastAsia="en-GB"/>
              </w:rPr>
              <w:t>n/a</w:t>
            </w:r>
          </w:p>
        </w:tc>
      </w:tr>
      <w:tr w:rsidR="0002051F" w:rsidRPr="002B59A9" w14:paraId="68854658" w14:textId="77777777" w:rsidTr="00FE7C44">
        <w:trPr>
          <w:trHeight w:val="325"/>
        </w:trPr>
        <w:tc>
          <w:tcPr>
            <w:tcW w:w="2578" w:type="dxa"/>
            <w:tcBorders>
              <w:top w:val="single" w:sz="4" w:space="0" w:color="auto"/>
              <w:left w:val="nil"/>
              <w:bottom w:val="single" w:sz="4" w:space="0" w:color="auto"/>
              <w:right w:val="nil"/>
            </w:tcBorders>
            <w:shd w:val="clear" w:color="000000" w:fill="FFFFFF"/>
            <w:vAlign w:val="bottom"/>
            <w:hideMark/>
          </w:tcPr>
          <w:p w14:paraId="18782C28" w14:textId="77777777" w:rsidR="0002051F" w:rsidRPr="002B59A9" w:rsidRDefault="0002051F" w:rsidP="00FE7C44">
            <w:pPr>
              <w:spacing w:line="240" w:lineRule="auto"/>
              <w:rPr>
                <w:rFonts w:ascii="Calibri" w:hAnsi="Calibri" w:cs="Arial"/>
                <w:b/>
                <w:bCs/>
                <w:color w:val="000000"/>
                <w:lang w:eastAsia="en-GB"/>
              </w:rPr>
            </w:pPr>
            <w:r w:rsidRPr="002B59A9">
              <w:rPr>
                <w:rFonts w:ascii="Calibri" w:hAnsi="Calibri" w:cs="Arial"/>
                <w:b/>
                <w:bCs/>
                <w:color w:val="000000"/>
                <w:lang w:eastAsia="en-GB"/>
              </w:rPr>
              <w:t>Forecast pre-policy decisions</w:t>
            </w:r>
          </w:p>
        </w:tc>
        <w:tc>
          <w:tcPr>
            <w:tcW w:w="953" w:type="dxa"/>
            <w:tcBorders>
              <w:top w:val="single" w:sz="4" w:space="0" w:color="auto"/>
              <w:left w:val="nil"/>
              <w:bottom w:val="single" w:sz="4" w:space="0" w:color="auto"/>
              <w:right w:val="nil"/>
            </w:tcBorders>
            <w:shd w:val="clear" w:color="000000" w:fill="FFFFFF"/>
            <w:noWrap/>
            <w:vAlign w:val="center"/>
            <w:hideMark/>
          </w:tcPr>
          <w:p w14:paraId="5542AC82"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76.0</w:t>
            </w:r>
          </w:p>
        </w:tc>
        <w:tc>
          <w:tcPr>
            <w:tcW w:w="961" w:type="dxa"/>
            <w:tcBorders>
              <w:top w:val="single" w:sz="4" w:space="0" w:color="auto"/>
              <w:left w:val="nil"/>
              <w:bottom w:val="single" w:sz="4" w:space="0" w:color="auto"/>
              <w:right w:val="nil"/>
            </w:tcBorders>
            <w:shd w:val="clear" w:color="000000" w:fill="FFFFFF"/>
            <w:noWrap/>
            <w:vAlign w:val="center"/>
            <w:hideMark/>
          </w:tcPr>
          <w:p w14:paraId="79E0D6FB"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67.2</w:t>
            </w:r>
          </w:p>
        </w:tc>
        <w:tc>
          <w:tcPr>
            <w:tcW w:w="956" w:type="dxa"/>
            <w:tcBorders>
              <w:top w:val="single" w:sz="4" w:space="0" w:color="auto"/>
              <w:left w:val="nil"/>
              <w:bottom w:val="single" w:sz="4" w:space="0" w:color="auto"/>
              <w:right w:val="nil"/>
            </w:tcBorders>
            <w:shd w:val="clear" w:color="000000" w:fill="FFFFFF"/>
            <w:noWrap/>
            <w:vAlign w:val="center"/>
            <w:hideMark/>
          </w:tcPr>
          <w:p w14:paraId="41A460A2"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56.4</w:t>
            </w:r>
          </w:p>
        </w:tc>
        <w:tc>
          <w:tcPr>
            <w:tcW w:w="1018" w:type="dxa"/>
            <w:tcBorders>
              <w:top w:val="single" w:sz="4" w:space="0" w:color="auto"/>
              <w:left w:val="nil"/>
              <w:bottom w:val="single" w:sz="4" w:space="0" w:color="auto"/>
              <w:right w:val="nil"/>
            </w:tcBorders>
            <w:shd w:val="clear" w:color="000000" w:fill="FFFFFF"/>
            <w:noWrap/>
            <w:vAlign w:val="center"/>
            <w:hideMark/>
          </w:tcPr>
          <w:p w14:paraId="5A1BEDA8"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42.0</w:t>
            </w:r>
          </w:p>
        </w:tc>
        <w:tc>
          <w:tcPr>
            <w:tcW w:w="970" w:type="dxa"/>
            <w:tcBorders>
              <w:top w:val="single" w:sz="4" w:space="0" w:color="auto"/>
              <w:left w:val="nil"/>
              <w:bottom w:val="single" w:sz="4" w:space="0" w:color="auto"/>
              <w:right w:val="nil"/>
            </w:tcBorders>
            <w:shd w:val="clear" w:color="000000" w:fill="FFFFFF"/>
            <w:noWrap/>
            <w:vAlign w:val="center"/>
            <w:hideMark/>
          </w:tcPr>
          <w:p w14:paraId="7C7938D1"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13.6</w:t>
            </w:r>
          </w:p>
        </w:tc>
        <w:tc>
          <w:tcPr>
            <w:tcW w:w="1069" w:type="dxa"/>
            <w:tcBorders>
              <w:top w:val="single" w:sz="4" w:space="0" w:color="auto"/>
              <w:left w:val="nil"/>
              <w:bottom w:val="single" w:sz="4" w:space="0" w:color="auto"/>
              <w:right w:val="nil"/>
            </w:tcBorders>
            <w:shd w:val="clear" w:color="000000" w:fill="FFFFFF"/>
            <w:noWrap/>
            <w:vAlign w:val="center"/>
            <w:hideMark/>
          </w:tcPr>
          <w:p w14:paraId="5185B49E"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11.2</w:t>
            </w:r>
          </w:p>
        </w:tc>
        <w:tc>
          <w:tcPr>
            <w:tcW w:w="993" w:type="dxa"/>
            <w:tcBorders>
              <w:top w:val="single" w:sz="4" w:space="0" w:color="auto"/>
              <w:left w:val="nil"/>
              <w:bottom w:val="single" w:sz="4" w:space="0" w:color="auto"/>
              <w:right w:val="nil"/>
            </w:tcBorders>
            <w:shd w:val="clear" w:color="000000" w:fill="FFFFFF"/>
            <w:noWrap/>
            <w:vAlign w:val="center"/>
            <w:hideMark/>
          </w:tcPr>
          <w:p w14:paraId="116EF3A2"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11.6</w:t>
            </w:r>
          </w:p>
        </w:tc>
      </w:tr>
      <w:tr w:rsidR="0002051F" w:rsidRPr="002B59A9" w14:paraId="788C9AF9" w14:textId="77777777" w:rsidTr="00FE7C44">
        <w:trPr>
          <w:trHeight w:val="325"/>
        </w:trPr>
        <w:tc>
          <w:tcPr>
            <w:tcW w:w="2578" w:type="dxa"/>
            <w:tcBorders>
              <w:top w:val="nil"/>
              <w:left w:val="nil"/>
              <w:bottom w:val="nil"/>
              <w:right w:val="nil"/>
            </w:tcBorders>
            <w:shd w:val="clear" w:color="000000" w:fill="FFFFFF"/>
            <w:vAlign w:val="bottom"/>
            <w:hideMark/>
          </w:tcPr>
          <w:p w14:paraId="5BE89C85" w14:textId="77777777" w:rsidR="0002051F" w:rsidRPr="002B59A9" w:rsidRDefault="0002051F" w:rsidP="00FE7C44">
            <w:pPr>
              <w:spacing w:line="240" w:lineRule="auto"/>
              <w:rPr>
                <w:rFonts w:ascii="Calibri" w:hAnsi="Calibri" w:cs="Arial"/>
                <w:color w:val="000000"/>
                <w:lang w:eastAsia="en-GB"/>
              </w:rPr>
            </w:pPr>
            <w:r w:rsidRPr="002B59A9">
              <w:rPr>
                <w:rFonts w:ascii="Calibri" w:hAnsi="Calibri" w:cs="Arial"/>
                <w:color w:val="000000"/>
                <w:lang w:eastAsia="en-GB"/>
              </w:rPr>
              <w:t>Effects of Government decisions</w:t>
            </w:r>
          </w:p>
        </w:tc>
        <w:tc>
          <w:tcPr>
            <w:tcW w:w="953" w:type="dxa"/>
            <w:tcBorders>
              <w:top w:val="nil"/>
              <w:left w:val="nil"/>
              <w:bottom w:val="nil"/>
              <w:right w:val="nil"/>
            </w:tcBorders>
            <w:shd w:val="clear" w:color="000000" w:fill="FFFFFF"/>
            <w:noWrap/>
            <w:vAlign w:val="center"/>
            <w:hideMark/>
          </w:tcPr>
          <w:p w14:paraId="05C99281"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0.0</w:t>
            </w:r>
          </w:p>
        </w:tc>
        <w:tc>
          <w:tcPr>
            <w:tcW w:w="961" w:type="dxa"/>
            <w:tcBorders>
              <w:top w:val="nil"/>
              <w:left w:val="nil"/>
              <w:bottom w:val="nil"/>
              <w:right w:val="nil"/>
            </w:tcBorders>
            <w:shd w:val="clear" w:color="000000" w:fill="FFFFFF"/>
            <w:noWrap/>
            <w:vAlign w:val="center"/>
            <w:hideMark/>
          </w:tcPr>
          <w:p w14:paraId="21061FD4"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0.9</w:t>
            </w:r>
          </w:p>
        </w:tc>
        <w:tc>
          <w:tcPr>
            <w:tcW w:w="956" w:type="dxa"/>
            <w:tcBorders>
              <w:top w:val="nil"/>
              <w:left w:val="nil"/>
              <w:bottom w:val="nil"/>
              <w:right w:val="nil"/>
            </w:tcBorders>
            <w:shd w:val="clear" w:color="000000" w:fill="FFFFFF"/>
            <w:noWrap/>
            <w:vAlign w:val="center"/>
            <w:hideMark/>
          </w:tcPr>
          <w:p w14:paraId="02FFCE01"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2.5</w:t>
            </w:r>
          </w:p>
        </w:tc>
        <w:tc>
          <w:tcPr>
            <w:tcW w:w="1018" w:type="dxa"/>
            <w:tcBorders>
              <w:top w:val="nil"/>
              <w:left w:val="nil"/>
              <w:bottom w:val="nil"/>
              <w:right w:val="nil"/>
            </w:tcBorders>
            <w:shd w:val="clear" w:color="000000" w:fill="FFFFFF"/>
            <w:noWrap/>
            <w:vAlign w:val="center"/>
            <w:hideMark/>
          </w:tcPr>
          <w:p w14:paraId="2A8EA281"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4.5</w:t>
            </w:r>
          </w:p>
        </w:tc>
        <w:tc>
          <w:tcPr>
            <w:tcW w:w="970" w:type="dxa"/>
            <w:tcBorders>
              <w:top w:val="nil"/>
              <w:left w:val="nil"/>
              <w:bottom w:val="nil"/>
              <w:right w:val="nil"/>
            </w:tcBorders>
            <w:shd w:val="clear" w:color="000000" w:fill="FFFFFF"/>
            <w:noWrap/>
            <w:vAlign w:val="center"/>
            <w:hideMark/>
          </w:tcPr>
          <w:p w14:paraId="3CFCF3CD"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8.4</w:t>
            </w:r>
          </w:p>
        </w:tc>
        <w:tc>
          <w:tcPr>
            <w:tcW w:w="1069" w:type="dxa"/>
            <w:tcBorders>
              <w:top w:val="nil"/>
              <w:left w:val="nil"/>
              <w:bottom w:val="nil"/>
              <w:right w:val="nil"/>
            </w:tcBorders>
            <w:shd w:val="clear" w:color="000000" w:fill="FFFFFF"/>
            <w:noWrap/>
            <w:vAlign w:val="center"/>
            <w:hideMark/>
          </w:tcPr>
          <w:p w14:paraId="4F21CE26"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9.6</w:t>
            </w:r>
          </w:p>
        </w:tc>
        <w:tc>
          <w:tcPr>
            <w:tcW w:w="993" w:type="dxa"/>
            <w:tcBorders>
              <w:top w:val="nil"/>
              <w:left w:val="nil"/>
              <w:bottom w:val="nil"/>
              <w:right w:val="nil"/>
            </w:tcBorders>
            <w:shd w:val="clear" w:color="000000" w:fill="FFFFFF"/>
            <w:noWrap/>
            <w:vAlign w:val="center"/>
            <w:hideMark/>
          </w:tcPr>
          <w:p w14:paraId="5EEE5701" w14:textId="77777777" w:rsidR="0002051F" w:rsidRPr="002B59A9" w:rsidRDefault="0002051F" w:rsidP="00FE7C44">
            <w:pPr>
              <w:spacing w:line="240" w:lineRule="auto"/>
              <w:jc w:val="right"/>
              <w:rPr>
                <w:rFonts w:ascii="Calibri" w:hAnsi="Calibri" w:cs="Arial"/>
                <w:color w:val="000000"/>
                <w:lang w:eastAsia="en-GB"/>
              </w:rPr>
            </w:pPr>
            <w:r w:rsidRPr="002B59A9">
              <w:rPr>
                <w:rFonts w:ascii="Calibri" w:hAnsi="Calibri" w:cs="Arial"/>
                <w:color w:val="000000"/>
                <w:lang w:eastAsia="en-GB"/>
              </w:rPr>
              <w:t>5.6</w:t>
            </w:r>
          </w:p>
        </w:tc>
      </w:tr>
      <w:tr w:rsidR="0002051F" w:rsidRPr="002B59A9" w14:paraId="0CA544A4" w14:textId="77777777" w:rsidTr="00FE7C44">
        <w:trPr>
          <w:trHeight w:val="341"/>
        </w:trPr>
        <w:tc>
          <w:tcPr>
            <w:tcW w:w="2578" w:type="dxa"/>
            <w:tcBorders>
              <w:top w:val="single" w:sz="4" w:space="0" w:color="auto"/>
              <w:left w:val="nil"/>
              <w:bottom w:val="single" w:sz="8" w:space="0" w:color="auto"/>
              <w:right w:val="nil"/>
            </w:tcBorders>
            <w:shd w:val="clear" w:color="000000" w:fill="FFFFFF"/>
            <w:vAlign w:val="bottom"/>
            <w:hideMark/>
          </w:tcPr>
          <w:p w14:paraId="45224BF3" w14:textId="77777777" w:rsidR="0002051F" w:rsidRPr="002B59A9" w:rsidRDefault="0002051F" w:rsidP="00FE7C44">
            <w:pPr>
              <w:spacing w:line="240" w:lineRule="auto"/>
              <w:rPr>
                <w:rFonts w:ascii="Calibri" w:hAnsi="Calibri" w:cs="Arial"/>
                <w:b/>
                <w:bCs/>
                <w:color w:val="000000"/>
                <w:lang w:eastAsia="en-GB"/>
              </w:rPr>
            </w:pPr>
            <w:r w:rsidRPr="002B59A9">
              <w:rPr>
                <w:rFonts w:ascii="Calibri" w:hAnsi="Calibri" w:cs="Arial"/>
                <w:b/>
                <w:bCs/>
                <w:color w:val="000000"/>
                <w:lang w:eastAsia="en-GB"/>
              </w:rPr>
              <w:t>Autumn Statement 2016 Borrowing Forecast</w:t>
            </w:r>
          </w:p>
        </w:tc>
        <w:tc>
          <w:tcPr>
            <w:tcW w:w="953" w:type="dxa"/>
            <w:tcBorders>
              <w:top w:val="single" w:sz="4" w:space="0" w:color="auto"/>
              <w:left w:val="nil"/>
              <w:bottom w:val="single" w:sz="8" w:space="0" w:color="auto"/>
              <w:right w:val="nil"/>
            </w:tcBorders>
            <w:shd w:val="clear" w:color="000000" w:fill="FFFFFF"/>
            <w:noWrap/>
            <w:vAlign w:val="center"/>
            <w:hideMark/>
          </w:tcPr>
          <w:p w14:paraId="4FC88F1B"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76.0</w:t>
            </w:r>
          </w:p>
        </w:tc>
        <w:tc>
          <w:tcPr>
            <w:tcW w:w="961" w:type="dxa"/>
            <w:tcBorders>
              <w:top w:val="single" w:sz="4" w:space="0" w:color="auto"/>
              <w:left w:val="nil"/>
              <w:bottom w:val="single" w:sz="8" w:space="0" w:color="auto"/>
              <w:right w:val="nil"/>
            </w:tcBorders>
            <w:shd w:val="clear" w:color="000000" w:fill="FFFFFF"/>
            <w:noWrap/>
            <w:vAlign w:val="center"/>
            <w:hideMark/>
          </w:tcPr>
          <w:p w14:paraId="5C26D2E0"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68.2</w:t>
            </w:r>
          </w:p>
        </w:tc>
        <w:tc>
          <w:tcPr>
            <w:tcW w:w="956" w:type="dxa"/>
            <w:tcBorders>
              <w:top w:val="single" w:sz="4" w:space="0" w:color="auto"/>
              <w:left w:val="nil"/>
              <w:bottom w:val="single" w:sz="8" w:space="0" w:color="auto"/>
              <w:right w:val="nil"/>
            </w:tcBorders>
            <w:shd w:val="clear" w:color="000000" w:fill="FFFFFF"/>
            <w:noWrap/>
            <w:vAlign w:val="center"/>
            <w:hideMark/>
          </w:tcPr>
          <w:p w14:paraId="5874D3EF"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59.0</w:t>
            </w:r>
          </w:p>
        </w:tc>
        <w:tc>
          <w:tcPr>
            <w:tcW w:w="1018" w:type="dxa"/>
            <w:tcBorders>
              <w:top w:val="single" w:sz="4" w:space="0" w:color="auto"/>
              <w:left w:val="nil"/>
              <w:bottom w:val="single" w:sz="8" w:space="0" w:color="auto"/>
              <w:right w:val="nil"/>
            </w:tcBorders>
            <w:shd w:val="clear" w:color="000000" w:fill="FFFFFF"/>
            <w:noWrap/>
            <w:vAlign w:val="center"/>
            <w:hideMark/>
          </w:tcPr>
          <w:p w14:paraId="14F35BA2"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46.5</w:t>
            </w:r>
          </w:p>
        </w:tc>
        <w:tc>
          <w:tcPr>
            <w:tcW w:w="970" w:type="dxa"/>
            <w:tcBorders>
              <w:top w:val="single" w:sz="4" w:space="0" w:color="auto"/>
              <w:left w:val="nil"/>
              <w:bottom w:val="single" w:sz="8" w:space="0" w:color="auto"/>
              <w:right w:val="nil"/>
            </w:tcBorders>
            <w:shd w:val="clear" w:color="000000" w:fill="FFFFFF"/>
            <w:noWrap/>
            <w:vAlign w:val="center"/>
            <w:hideMark/>
          </w:tcPr>
          <w:p w14:paraId="570F073A"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21.9</w:t>
            </w:r>
          </w:p>
        </w:tc>
        <w:tc>
          <w:tcPr>
            <w:tcW w:w="1069" w:type="dxa"/>
            <w:tcBorders>
              <w:top w:val="single" w:sz="4" w:space="0" w:color="auto"/>
              <w:left w:val="nil"/>
              <w:bottom w:val="single" w:sz="8" w:space="0" w:color="auto"/>
              <w:right w:val="nil"/>
            </w:tcBorders>
            <w:shd w:val="clear" w:color="000000" w:fill="FFFFFF"/>
            <w:noWrap/>
            <w:vAlign w:val="center"/>
            <w:hideMark/>
          </w:tcPr>
          <w:p w14:paraId="769530CE"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20.7</w:t>
            </w:r>
          </w:p>
        </w:tc>
        <w:tc>
          <w:tcPr>
            <w:tcW w:w="993" w:type="dxa"/>
            <w:tcBorders>
              <w:top w:val="single" w:sz="4" w:space="0" w:color="auto"/>
              <w:left w:val="nil"/>
              <w:bottom w:val="single" w:sz="8" w:space="0" w:color="auto"/>
              <w:right w:val="nil"/>
            </w:tcBorders>
            <w:shd w:val="clear" w:color="000000" w:fill="FFFFFF"/>
            <w:noWrap/>
            <w:vAlign w:val="center"/>
            <w:hideMark/>
          </w:tcPr>
          <w:p w14:paraId="547E4EE3" w14:textId="77777777" w:rsidR="0002051F" w:rsidRPr="002B59A9" w:rsidRDefault="0002051F" w:rsidP="00FE7C44">
            <w:pPr>
              <w:spacing w:line="240" w:lineRule="auto"/>
              <w:jc w:val="right"/>
              <w:rPr>
                <w:rFonts w:ascii="Calibri" w:hAnsi="Calibri" w:cs="Arial"/>
                <w:b/>
                <w:bCs/>
                <w:color w:val="000000"/>
                <w:lang w:eastAsia="en-GB"/>
              </w:rPr>
            </w:pPr>
            <w:r w:rsidRPr="002B59A9">
              <w:rPr>
                <w:rFonts w:ascii="Calibri" w:hAnsi="Calibri" w:cs="Arial"/>
                <w:b/>
                <w:bCs/>
                <w:color w:val="000000"/>
                <w:lang w:eastAsia="en-GB"/>
              </w:rPr>
              <w:t>17.2</w:t>
            </w:r>
          </w:p>
        </w:tc>
      </w:tr>
    </w:tbl>
    <w:p w14:paraId="4B96A5D0" w14:textId="77777777" w:rsidR="0002051F" w:rsidRPr="0002051F" w:rsidRDefault="0002051F" w:rsidP="0002051F">
      <w:pPr>
        <w:widowControl/>
        <w:spacing w:after="160" w:line="252" w:lineRule="auto"/>
        <w:contextualSpacing/>
        <w:jc w:val="both"/>
        <w:rPr>
          <w:rFonts w:ascii="Arial" w:hAnsi="Arial" w:cs="Arial"/>
        </w:rPr>
      </w:pPr>
    </w:p>
    <w:sectPr w:rsidR="0002051F" w:rsidRPr="0002051F" w:rsidSect="0054183E">
      <w:headerReference w:type="default" r:id="rId21"/>
      <w:type w:val="continuous"/>
      <w:pgSz w:w="11906" w:h="16838"/>
      <w:pgMar w:top="851" w:right="2495" w:bottom="851" w:left="1418" w:header="335" w:footer="5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EF514" w14:textId="77777777" w:rsidR="00BA6A7D" w:rsidRDefault="00BA6A7D">
      <w:r>
        <w:separator/>
      </w:r>
    </w:p>
  </w:endnote>
  <w:endnote w:type="continuationSeparator" w:id="0">
    <w:p w14:paraId="45F14761" w14:textId="77777777" w:rsidR="00BA6A7D" w:rsidRDefault="00BA6A7D">
      <w:r>
        <w:continuationSeparator/>
      </w:r>
    </w:p>
  </w:endnote>
  <w:endnote w:type="continuationNotice" w:id="1">
    <w:p w14:paraId="076CEF9E" w14:textId="77777777" w:rsidR="00BA6A7D" w:rsidRDefault="00BA6A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C5C1409-BB24-4E21-A0CB-BE9AF60612C6}"/>
  </w:font>
  <w:font w:name="DIN-Regular">
    <w:altName w:val="DIN-Regular"/>
    <w:panose1 w:val="00000000000000000000"/>
    <w:charset w:val="00"/>
    <w:family w:val="swiss"/>
    <w:notTrueType/>
    <w:pitch w:val="default"/>
    <w:sig w:usb0="00000003" w:usb1="00000000" w:usb2="00000000" w:usb3="00000000" w:csb0="00000001" w:csb1="00000000"/>
  </w:font>
  <w:font w:name="Bliss">
    <w:altName w:val="Bliss"/>
    <w:panose1 w:val="00000000000000000000"/>
    <w:charset w:val="00"/>
    <w:family w:val="swiss"/>
    <w:notTrueType/>
    <w:pitch w:val="default"/>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220AA2A2-E970-4ACB-B3FE-DA5419E8DD38}"/>
    <w:embedBold r:id="rId3" w:fontKey="{A12E2B18-F04B-408F-B66A-D035C9C5756C}"/>
    <w:embedItalic r:id="rId4" w:fontKey="{8BCA4C85-5FE1-4BAE-B4A2-51CBD4C8E2EE}"/>
  </w:font>
  <w:font w:name="Cambria">
    <w:panose1 w:val="02040503050406030204"/>
    <w:charset w:val="00"/>
    <w:family w:val="roman"/>
    <w:pitch w:val="variable"/>
    <w:sig w:usb0="E00002FF" w:usb1="400004FF" w:usb2="00000000" w:usb3="00000000" w:csb0="0000019F" w:csb1="00000000"/>
    <w:embedRegular r:id="rId5" w:fontKey="{BB991F8F-659D-46AB-A286-A78593F341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1540B" w14:textId="738BF5CA" w:rsidR="00BA6A7D" w:rsidRPr="000361F0" w:rsidRDefault="00BA6A7D" w:rsidP="000361F0">
    <w:pPr>
      <w:pStyle w:val="Footer"/>
      <w:jc w:val="right"/>
      <w:rPr>
        <w:rFonts w:ascii="Arial" w:hAnsi="Arial" w:cs="Arial"/>
      </w:rPr>
    </w:pPr>
  </w:p>
  <w:p w14:paraId="2021F41A" w14:textId="77777777" w:rsidR="00BA6A7D" w:rsidRDefault="00BA6A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79F6C" w14:textId="77777777" w:rsidR="00BA6A7D" w:rsidRDefault="00BA6A7D">
      <w:r>
        <w:separator/>
      </w:r>
    </w:p>
  </w:footnote>
  <w:footnote w:type="continuationSeparator" w:id="0">
    <w:p w14:paraId="79D1B0AD" w14:textId="77777777" w:rsidR="00BA6A7D" w:rsidRDefault="00BA6A7D">
      <w:r>
        <w:continuationSeparator/>
      </w:r>
    </w:p>
  </w:footnote>
  <w:footnote w:type="continuationNotice" w:id="1">
    <w:p w14:paraId="01508BCA" w14:textId="77777777" w:rsidR="00BA6A7D" w:rsidRDefault="00BA6A7D">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BA6A7D" w14:paraId="1806E44E" w14:textId="77777777" w:rsidTr="5BBF89A0">
      <w:trPr>
        <w:cantSplit/>
        <w:trHeight w:hRule="exact" w:val="5273"/>
      </w:trPr>
      <w:tc>
        <w:tcPr>
          <w:tcW w:w="993" w:type="dxa"/>
          <w:textDirection w:val="btLr"/>
          <w:vAlign w:val="bottom"/>
        </w:tcPr>
        <w:p w14:paraId="13E374DC" w14:textId="4E0D1EAB" w:rsidR="00BA6A7D" w:rsidRPr="00C416F5" w:rsidRDefault="00BA6A7D" w:rsidP="5BBF89A0">
          <w:pPr>
            <w:pStyle w:val="Heading1"/>
            <w:framePr w:w="992" w:h="10943" w:hRule="exact" w:wrap="around" w:x="10199" w:y="5041"/>
            <w:jc w:val="center"/>
            <w:rPr>
              <w:rFonts w:ascii="Arial" w:eastAsia="Arial" w:hAnsi="Arial" w:cs="Arial"/>
            </w:rPr>
          </w:pPr>
          <w:r>
            <w:rPr>
              <w:rFonts w:ascii="Arial" w:hAnsi="Arial" w:cs="Arial"/>
              <w:noProof/>
              <w:lang w:eastAsia="en-GB"/>
            </w:rPr>
            <mc:AlternateContent>
              <mc:Choice Requires="wps">
                <w:drawing>
                  <wp:anchor distT="0" distB="0" distL="114300" distR="114300" simplePos="0" relativeHeight="251658241" behindDoc="0" locked="0" layoutInCell="0" allowOverlap="1" wp14:anchorId="253BC7C5" wp14:editId="36A0B359">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70DA7"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5BBF89A0">
            <w:rPr>
              <w:rStyle w:val="Heading1Bold"/>
              <w:rFonts w:ascii="Arial" w:eastAsia="Arial" w:hAnsi="Arial" w:cs="Arial"/>
            </w:rPr>
            <w:t>Briefing</w:t>
          </w:r>
        </w:p>
      </w:tc>
    </w:tr>
    <w:tr w:rsidR="00BA6A7D" w:rsidRPr="00360E21" w14:paraId="71946129" w14:textId="77777777" w:rsidTr="5BBF89A0">
      <w:trPr>
        <w:cantSplit/>
        <w:trHeight w:hRule="exact" w:val="5670"/>
      </w:trPr>
      <w:tc>
        <w:tcPr>
          <w:tcW w:w="993" w:type="dxa"/>
          <w:textDirection w:val="btLr"/>
          <w:vAlign w:val="bottom"/>
        </w:tcPr>
        <w:p w14:paraId="7959A6B9" w14:textId="77777777" w:rsidR="00BA6A7D" w:rsidRPr="00360E21" w:rsidRDefault="00BA6A7D" w:rsidP="5BBF89A0">
          <w:pPr>
            <w:pStyle w:val="Address2"/>
            <w:framePr w:wrap="around"/>
            <w:spacing w:after="0" w:line="240" w:lineRule="auto"/>
            <w:rPr>
              <w:rFonts w:ascii="Arial" w:eastAsia="Arial" w:hAnsi="Arial" w:cs="Arial"/>
            </w:rPr>
          </w:pPr>
          <w:r w:rsidRPr="5BBF89A0">
            <w:rPr>
              <w:rFonts w:ascii="Arial" w:eastAsia="Arial" w:hAnsi="Arial" w:cs="Arial"/>
            </w:rPr>
            <w:t>For more information please contact:</w:t>
          </w:r>
        </w:p>
        <w:p w14:paraId="442AA21F" w14:textId="0C4CE4C0" w:rsidR="00BA6A7D" w:rsidRDefault="00BA6A7D" w:rsidP="5BBF89A0">
          <w:pPr>
            <w:pStyle w:val="Address2"/>
            <w:framePr w:wrap="around"/>
            <w:spacing w:after="0" w:line="240" w:lineRule="auto"/>
            <w:rPr>
              <w:rFonts w:ascii="Arial" w:eastAsia="Arial" w:hAnsi="Arial" w:cs="Arial"/>
              <w:b w:val="0"/>
            </w:rPr>
          </w:pPr>
          <w:r w:rsidRPr="5BBF89A0">
            <w:rPr>
              <w:rFonts w:ascii="Arial" w:eastAsia="Arial" w:hAnsi="Arial" w:cs="Arial"/>
              <w:b w:val="0"/>
            </w:rPr>
            <w:t>Melanie Haslam, Public Affairs and Campaigns Adviser</w:t>
          </w:r>
        </w:p>
        <w:p w14:paraId="3E6AEE0B" w14:textId="7CE2E460" w:rsidR="00BA6A7D" w:rsidRDefault="00D03943" w:rsidP="5BBF89A0">
          <w:pPr>
            <w:pStyle w:val="Address2"/>
            <w:framePr w:wrap="around"/>
            <w:spacing w:after="0" w:line="240" w:lineRule="auto"/>
            <w:rPr>
              <w:rFonts w:ascii="Arial" w:eastAsia="Arial" w:hAnsi="Arial" w:cs="Arial"/>
              <w:b w:val="0"/>
            </w:rPr>
          </w:pPr>
          <w:hyperlink r:id="rId1" w:history="1">
            <w:r w:rsidR="00BA6A7D" w:rsidRPr="5BBF89A0">
              <w:rPr>
                <w:rStyle w:val="Hyperlink"/>
                <w:rFonts w:ascii="Arial" w:eastAsia="Arial" w:hAnsi="Arial" w:cs="Arial"/>
                <w:b w:val="0"/>
              </w:rPr>
              <w:t>melanie.haslam@local.gov.uk</w:t>
            </w:r>
          </w:hyperlink>
          <w:r w:rsidR="00BA6A7D" w:rsidRPr="5BBF89A0">
            <w:rPr>
              <w:rFonts w:ascii="Arial" w:eastAsia="Arial" w:hAnsi="Arial" w:cs="Arial"/>
              <w:b w:val="0"/>
            </w:rPr>
            <w:t xml:space="preserve"> 020 7664 308</w:t>
          </w:r>
          <w:r w:rsidR="00BA6A7D" w:rsidRPr="00360E21">
            <w:rPr>
              <w:rFonts w:ascii="Arial" w:hAnsi="Arial" w:cs="Arial"/>
              <w:noProof/>
              <w:szCs w:val="17"/>
              <w:lang w:eastAsia="en-GB"/>
            </w:rPr>
            <mc:AlternateContent>
              <mc:Choice Requires="wps">
                <w:drawing>
                  <wp:anchor distT="0" distB="0" distL="114300" distR="114300" simplePos="0" relativeHeight="251658242" behindDoc="0" locked="0" layoutInCell="0" allowOverlap="1" wp14:anchorId="273AF696" wp14:editId="1C12A320">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3BC99" id="Line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00BA6A7D" w:rsidRPr="5BBF89A0">
            <w:rPr>
              <w:rFonts w:ascii="Arial" w:eastAsia="Arial" w:hAnsi="Arial" w:cs="Arial"/>
              <w:b w:val="0"/>
            </w:rPr>
            <w:t>7</w:t>
          </w:r>
        </w:p>
        <w:p w14:paraId="7DB64B62" w14:textId="3A0EE0B4" w:rsidR="00BA6A7D" w:rsidRPr="00B04603" w:rsidRDefault="00BA6A7D" w:rsidP="5BBF89A0">
          <w:pPr>
            <w:pStyle w:val="Address2"/>
            <w:framePr w:wrap="around"/>
            <w:spacing w:after="0" w:line="240" w:lineRule="auto"/>
            <w:rPr>
              <w:rFonts w:ascii="Arial" w:eastAsia="Arial" w:hAnsi="Arial" w:cs="Arial"/>
              <w:b w:val="0"/>
            </w:rPr>
          </w:pPr>
          <w:r w:rsidRPr="5BBF89A0">
            <w:rPr>
              <w:rFonts w:ascii="Arial" w:eastAsia="Arial" w:hAnsi="Arial" w:cs="Arial"/>
              <w:b w:val="0"/>
            </w:rPr>
            <w:t>Layden House, 76-78 Turnmill Street, London, EC1M 5LG</w:t>
          </w:r>
        </w:p>
        <w:p w14:paraId="24231975" w14:textId="142FBE89" w:rsidR="00BA6A7D" w:rsidRPr="00360E21" w:rsidRDefault="00BA6A7D" w:rsidP="00360E21">
          <w:pPr>
            <w:pStyle w:val="Address2"/>
            <w:framePr w:wrap="around"/>
            <w:spacing w:after="0" w:line="240" w:lineRule="auto"/>
            <w:rPr>
              <w:rFonts w:ascii="Arial" w:hAnsi="Arial" w:cs="Arial"/>
              <w:szCs w:val="17"/>
            </w:rPr>
          </w:pPr>
        </w:p>
      </w:tc>
    </w:tr>
  </w:tbl>
  <w:p w14:paraId="52B0A7D0" w14:textId="77777777" w:rsidR="00F37469" w:rsidRDefault="00F37469" w:rsidP="007301F9">
    <w:pPr>
      <w:pStyle w:val="Header"/>
      <w:spacing w:line="240" w:lineRule="auto"/>
      <w:jc w:val="right"/>
      <w:rPr>
        <w:rFonts w:ascii="Arial" w:hAnsi="Arial" w:cs="Arial"/>
        <w:sz w:val="28"/>
        <w:szCs w:val="28"/>
      </w:rPr>
    </w:pPr>
  </w:p>
  <w:p w14:paraId="5E22C6E1" w14:textId="77777777" w:rsidR="00F37469" w:rsidRDefault="00F37469" w:rsidP="007301F9">
    <w:pPr>
      <w:pStyle w:val="Header"/>
      <w:spacing w:line="240" w:lineRule="auto"/>
      <w:jc w:val="right"/>
      <w:rPr>
        <w:rFonts w:ascii="Arial" w:hAnsi="Arial" w:cs="Arial"/>
        <w:sz w:val="28"/>
        <w:szCs w:val="28"/>
      </w:rPr>
    </w:pPr>
  </w:p>
  <w:p w14:paraId="77348A4A" w14:textId="77777777" w:rsidR="00F37469" w:rsidRDefault="00F37469" w:rsidP="007301F9">
    <w:pPr>
      <w:pStyle w:val="Header"/>
      <w:spacing w:line="240" w:lineRule="auto"/>
      <w:jc w:val="right"/>
      <w:rPr>
        <w:rFonts w:ascii="Arial" w:hAnsi="Arial" w:cs="Arial"/>
        <w:sz w:val="28"/>
        <w:szCs w:val="28"/>
      </w:rPr>
    </w:pPr>
  </w:p>
  <w:p w14:paraId="646062EB" w14:textId="33217063" w:rsidR="00BA6A7D" w:rsidRPr="007301F9" w:rsidRDefault="00BA6A7D" w:rsidP="007301F9">
    <w:pPr>
      <w:pStyle w:val="Header"/>
      <w:spacing w:line="240" w:lineRule="auto"/>
      <w:jc w:val="right"/>
      <w:rPr>
        <w:rFonts w:ascii="Arial" w:hAnsi="Arial" w:cs="Arial"/>
        <w:sz w:val="28"/>
        <w:szCs w:val="28"/>
      </w:rPr>
    </w:pPr>
    <w:r w:rsidRPr="007301F9">
      <w:rPr>
        <w:rFonts w:ascii="Arial" w:hAnsi="Arial" w:cs="Arial"/>
        <w:noProof/>
        <w:sz w:val="28"/>
        <w:szCs w:val="28"/>
        <w:lang w:eastAsia="en-GB"/>
      </w:rPr>
      <mc:AlternateContent>
        <mc:Choice Requires="wps">
          <w:drawing>
            <wp:anchor distT="0" distB="0" distL="114300" distR="114300" simplePos="0" relativeHeight="251658240" behindDoc="0" locked="0" layoutInCell="0" allowOverlap="1" wp14:anchorId="1A0DAE1D" wp14:editId="2D6F6701">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3C78" w14:textId="0564E257" w:rsidR="00BA6A7D" w:rsidRDefault="00BA6A7D" w:rsidP="00B54126">
                          <w:pPr>
                            <w:pStyle w:val="Logo"/>
                            <w:jc w:val="center"/>
                          </w:pPr>
                          <w:r>
                            <w:rPr>
                              <w:lang w:eastAsia="en-GB"/>
                            </w:rPr>
                            <w:drawing>
                              <wp:inline distT="0" distB="0" distL="0" distR="0" wp14:anchorId="6AB42CE8" wp14:editId="4E5DF3F5">
                                <wp:extent cx="685800" cy="11525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0DAE1D"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19DD3C78" w14:textId="0564E257" w:rsidR="00BA6A7D" w:rsidRDefault="00BA6A7D" w:rsidP="00B54126">
                    <w:pPr>
                      <w:pStyle w:val="Logo"/>
                      <w:jc w:val="center"/>
                    </w:pPr>
                    <w:r>
                      <w:rPr>
                        <w:lang w:eastAsia="en-GB"/>
                      </w:rPr>
                      <w:drawing>
                        <wp:inline distT="0" distB="0" distL="0" distR="0" wp14:anchorId="6AB42CE8" wp14:editId="4E5DF3F5">
                          <wp:extent cx="685800" cy="11525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007301F9" w:rsidRPr="007301F9">
      <w:rPr>
        <w:rFonts w:ascii="Arial" w:hAnsi="Arial" w:cs="Arial"/>
        <w:sz w:val="28"/>
        <w:szCs w:val="28"/>
      </w:rPr>
      <w:t>Appendix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5B0DC" w14:textId="7311B959" w:rsidR="00BA6A7D" w:rsidRDefault="00BA6A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50B17"/>
    <w:multiLevelType w:val="hybridMultilevel"/>
    <w:tmpl w:val="6992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E6E74"/>
    <w:multiLevelType w:val="hybridMultilevel"/>
    <w:tmpl w:val="22E4C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DC60EB5"/>
    <w:multiLevelType w:val="hybridMultilevel"/>
    <w:tmpl w:val="AB8A7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8555A"/>
    <w:multiLevelType w:val="hybridMultilevel"/>
    <w:tmpl w:val="6BA6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E6E14"/>
    <w:multiLevelType w:val="hybridMultilevel"/>
    <w:tmpl w:val="61B4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7316D"/>
    <w:multiLevelType w:val="hybridMultilevel"/>
    <w:tmpl w:val="84A2C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247A6"/>
    <w:multiLevelType w:val="hybridMultilevel"/>
    <w:tmpl w:val="B2284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A580E"/>
    <w:multiLevelType w:val="hybridMultilevel"/>
    <w:tmpl w:val="C9E6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47601"/>
    <w:multiLevelType w:val="hybridMultilevel"/>
    <w:tmpl w:val="2A042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F7497B"/>
    <w:multiLevelType w:val="hybridMultilevel"/>
    <w:tmpl w:val="4CBC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E481D"/>
    <w:multiLevelType w:val="hybridMultilevel"/>
    <w:tmpl w:val="7E7E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A68D6"/>
    <w:multiLevelType w:val="hybridMultilevel"/>
    <w:tmpl w:val="335C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95A00"/>
    <w:multiLevelType w:val="multilevel"/>
    <w:tmpl w:val="FD4A9A00"/>
    <w:lvl w:ilvl="0">
      <w:start w:val="1"/>
      <w:numFmt w:val="bullet"/>
      <w:pStyle w:val="Bullet1"/>
      <w:lvlText w:val=""/>
      <w:lvlJc w:val="left"/>
      <w:pPr>
        <w:tabs>
          <w:tab w:val="num" w:pos="284"/>
        </w:tabs>
        <w:ind w:left="284" w:hanging="284"/>
      </w:pPr>
      <w:rPr>
        <w:rFonts w:ascii="Wingdings" w:hAnsi="Wingdings" w:hint="default"/>
        <w:color w:val="003473"/>
      </w:rPr>
    </w:lvl>
    <w:lvl w:ilvl="1">
      <w:start w:val="1"/>
      <w:numFmt w:val="bullet"/>
      <w:pStyle w:val="Bullet2"/>
      <w:lvlText w:val="-"/>
      <w:lvlJc w:val="left"/>
      <w:pPr>
        <w:tabs>
          <w:tab w:val="num" w:pos="567"/>
        </w:tabs>
        <w:ind w:left="567" w:hanging="283"/>
      </w:pPr>
      <w:rPr>
        <w:rFonts w:ascii="Courier New" w:hAnsi="Courier New" w:hint="default"/>
        <w:color w:val="003473"/>
      </w:rPr>
    </w:lvl>
    <w:lvl w:ilvl="2">
      <w:start w:val="1"/>
      <w:numFmt w:val="bullet"/>
      <w:pStyle w:val="Bullet3"/>
      <w:lvlText w:val=""/>
      <w:lvlJc w:val="left"/>
      <w:pPr>
        <w:tabs>
          <w:tab w:val="num" w:pos="851"/>
        </w:tabs>
        <w:ind w:left="851" w:hanging="284"/>
      </w:pPr>
      <w:rPr>
        <w:rFonts w:ascii="Wingdings" w:hAnsi="Wingdings" w:hint="default"/>
        <w:color w:val="003473"/>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0"/>
        </w:tabs>
        <w:ind w:left="1800" w:hanging="360"/>
      </w:pPr>
      <w:rPr>
        <w:rFonts w:ascii="Symbol" w:hAnsi="Symbol" w:hint="default"/>
      </w:rPr>
    </w:lvl>
    <w:lvl w:ilvl="5">
      <w:start w:val="1"/>
      <w:numFmt w:val="bullet"/>
      <w:lvlText w:val=""/>
      <w:lvlJc w:val="left"/>
      <w:pPr>
        <w:tabs>
          <w:tab w:val="num" w:pos="0"/>
        </w:tabs>
        <w:ind w:left="2160" w:hanging="360"/>
      </w:pPr>
      <w:rPr>
        <w:rFonts w:ascii="Wingdings" w:hAnsi="Wingdings" w:hint="default"/>
      </w:rPr>
    </w:lvl>
    <w:lvl w:ilvl="6">
      <w:start w:val="1"/>
      <w:numFmt w:val="bullet"/>
      <w:lvlText w:val=""/>
      <w:lvlJc w:val="left"/>
      <w:pPr>
        <w:tabs>
          <w:tab w:val="num" w:pos="0"/>
        </w:tabs>
        <w:ind w:left="2520" w:hanging="360"/>
      </w:pPr>
      <w:rPr>
        <w:rFonts w:ascii="Wingdings" w:hAnsi="Wingdings" w:hint="default"/>
      </w:rPr>
    </w:lvl>
    <w:lvl w:ilvl="7">
      <w:start w:val="1"/>
      <w:numFmt w:val="bullet"/>
      <w:lvlText w:val=""/>
      <w:lvlJc w:val="left"/>
      <w:pPr>
        <w:tabs>
          <w:tab w:val="num" w:pos="0"/>
        </w:tabs>
        <w:ind w:left="2880" w:hanging="360"/>
      </w:pPr>
      <w:rPr>
        <w:rFonts w:ascii="Symbol" w:hAnsi="Symbol" w:hint="default"/>
      </w:rPr>
    </w:lvl>
    <w:lvl w:ilvl="8">
      <w:start w:val="1"/>
      <w:numFmt w:val="bullet"/>
      <w:lvlText w:val=""/>
      <w:lvlJc w:val="left"/>
      <w:pPr>
        <w:tabs>
          <w:tab w:val="num" w:pos="0"/>
        </w:tabs>
        <w:ind w:left="3240" w:hanging="360"/>
      </w:pPr>
      <w:rPr>
        <w:rFonts w:ascii="Symbol" w:hAnsi="Symbol" w:hint="default"/>
      </w:rPr>
    </w:lvl>
  </w:abstractNum>
  <w:abstractNum w:abstractNumId="13" w15:restartNumberingAfterBreak="0">
    <w:nsid w:val="31455542"/>
    <w:multiLevelType w:val="hybridMultilevel"/>
    <w:tmpl w:val="0582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3E6BAE"/>
    <w:multiLevelType w:val="hybridMultilevel"/>
    <w:tmpl w:val="06DED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87E02CB"/>
    <w:multiLevelType w:val="hybridMultilevel"/>
    <w:tmpl w:val="8912F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6F545D"/>
    <w:multiLevelType w:val="hybridMultilevel"/>
    <w:tmpl w:val="991C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B7349"/>
    <w:multiLevelType w:val="hybridMultilevel"/>
    <w:tmpl w:val="409A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22514"/>
    <w:multiLevelType w:val="hybridMultilevel"/>
    <w:tmpl w:val="2F66A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356407"/>
    <w:multiLevelType w:val="hybridMultilevel"/>
    <w:tmpl w:val="A4084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35F3D"/>
    <w:multiLevelType w:val="hybridMultilevel"/>
    <w:tmpl w:val="78D6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D311A"/>
    <w:multiLevelType w:val="hybridMultilevel"/>
    <w:tmpl w:val="F3D6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2679FF"/>
    <w:multiLevelType w:val="hybridMultilevel"/>
    <w:tmpl w:val="07A6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F70F8"/>
    <w:multiLevelType w:val="multilevel"/>
    <w:tmpl w:val="3386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8E48AD"/>
    <w:multiLevelType w:val="hybridMultilevel"/>
    <w:tmpl w:val="035A0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D73FE9"/>
    <w:multiLevelType w:val="hybridMultilevel"/>
    <w:tmpl w:val="0DF2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FB0FB6"/>
    <w:multiLevelType w:val="hybridMultilevel"/>
    <w:tmpl w:val="EC46E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8" w15:restartNumberingAfterBreak="0">
    <w:nsid w:val="4E23483F"/>
    <w:multiLevelType w:val="hybridMultilevel"/>
    <w:tmpl w:val="51689AD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B50771"/>
    <w:multiLevelType w:val="hybridMultilevel"/>
    <w:tmpl w:val="6528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4330F"/>
    <w:multiLevelType w:val="hybridMultilevel"/>
    <w:tmpl w:val="29062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57F263A"/>
    <w:multiLevelType w:val="hybridMultilevel"/>
    <w:tmpl w:val="7CC07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DE6299"/>
    <w:multiLevelType w:val="hybridMultilevel"/>
    <w:tmpl w:val="93E0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8F4AFB"/>
    <w:multiLevelType w:val="hybridMultilevel"/>
    <w:tmpl w:val="6200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E83AF3"/>
    <w:multiLevelType w:val="hybridMultilevel"/>
    <w:tmpl w:val="1CD43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436B80"/>
    <w:multiLevelType w:val="hybridMultilevel"/>
    <w:tmpl w:val="4008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5B0381"/>
    <w:multiLevelType w:val="hybridMultilevel"/>
    <w:tmpl w:val="420E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834680"/>
    <w:multiLevelType w:val="hybridMultilevel"/>
    <w:tmpl w:val="CE5E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B11048"/>
    <w:multiLevelType w:val="hybridMultilevel"/>
    <w:tmpl w:val="B474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524C60"/>
    <w:multiLevelType w:val="hybridMultilevel"/>
    <w:tmpl w:val="EF50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144570"/>
    <w:multiLevelType w:val="hybridMultilevel"/>
    <w:tmpl w:val="DB7A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3577A"/>
    <w:multiLevelType w:val="hybridMultilevel"/>
    <w:tmpl w:val="80D88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F74074"/>
    <w:multiLevelType w:val="hybridMultilevel"/>
    <w:tmpl w:val="DC14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EC174E"/>
    <w:multiLevelType w:val="hybridMultilevel"/>
    <w:tmpl w:val="6B76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281BA5"/>
    <w:multiLevelType w:val="hybridMultilevel"/>
    <w:tmpl w:val="6DE4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7E7E9E"/>
    <w:multiLevelType w:val="hybridMultilevel"/>
    <w:tmpl w:val="B00A0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BE5347"/>
    <w:multiLevelType w:val="hybridMultilevel"/>
    <w:tmpl w:val="F272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2"/>
  </w:num>
  <w:num w:numId="4">
    <w:abstractNumId w:val="43"/>
  </w:num>
  <w:num w:numId="5">
    <w:abstractNumId w:val="41"/>
  </w:num>
  <w:num w:numId="6">
    <w:abstractNumId w:val="6"/>
  </w:num>
  <w:num w:numId="7">
    <w:abstractNumId w:val="23"/>
  </w:num>
  <w:num w:numId="8">
    <w:abstractNumId w:val="2"/>
  </w:num>
  <w:num w:numId="9">
    <w:abstractNumId w:val="42"/>
  </w:num>
  <w:num w:numId="10">
    <w:abstractNumId w:val="46"/>
  </w:num>
  <w:num w:numId="11">
    <w:abstractNumId w:val="40"/>
  </w:num>
  <w:num w:numId="12">
    <w:abstractNumId w:val="35"/>
  </w:num>
  <w:num w:numId="13">
    <w:abstractNumId w:val="22"/>
  </w:num>
  <w:num w:numId="14">
    <w:abstractNumId w:val="0"/>
  </w:num>
  <w:num w:numId="15">
    <w:abstractNumId w:val="39"/>
  </w:num>
  <w:num w:numId="16">
    <w:abstractNumId w:val="20"/>
  </w:num>
  <w:num w:numId="17">
    <w:abstractNumId w:val="19"/>
  </w:num>
  <w:num w:numId="18">
    <w:abstractNumId w:val="34"/>
  </w:num>
  <w:num w:numId="19">
    <w:abstractNumId w:val="13"/>
  </w:num>
  <w:num w:numId="20">
    <w:abstractNumId w:val="11"/>
  </w:num>
  <w:num w:numId="21">
    <w:abstractNumId w:val="8"/>
  </w:num>
  <w:num w:numId="22">
    <w:abstractNumId w:val="7"/>
  </w:num>
  <w:num w:numId="23">
    <w:abstractNumId w:val="3"/>
  </w:num>
  <w:num w:numId="24">
    <w:abstractNumId w:val="10"/>
  </w:num>
  <w:num w:numId="25">
    <w:abstractNumId w:val="16"/>
  </w:num>
  <w:num w:numId="26">
    <w:abstractNumId w:val="29"/>
  </w:num>
  <w:num w:numId="27">
    <w:abstractNumId w:val="21"/>
  </w:num>
  <w:num w:numId="28">
    <w:abstractNumId w:val="32"/>
  </w:num>
  <w:num w:numId="29">
    <w:abstractNumId w:val="33"/>
  </w:num>
  <w:num w:numId="30">
    <w:abstractNumId w:val="36"/>
  </w:num>
  <w:num w:numId="31">
    <w:abstractNumId w:val="44"/>
  </w:num>
  <w:num w:numId="32">
    <w:abstractNumId w:val="37"/>
  </w:num>
  <w:num w:numId="33">
    <w:abstractNumId w:val="17"/>
  </w:num>
  <w:num w:numId="34">
    <w:abstractNumId w:val="26"/>
  </w:num>
  <w:num w:numId="35">
    <w:abstractNumId w:val="25"/>
  </w:num>
  <w:num w:numId="36">
    <w:abstractNumId w:val="31"/>
  </w:num>
  <w:num w:numId="37">
    <w:abstractNumId w:val="45"/>
  </w:num>
  <w:num w:numId="38">
    <w:abstractNumId w:val="15"/>
  </w:num>
  <w:num w:numId="39">
    <w:abstractNumId w:val="14"/>
  </w:num>
  <w:num w:numId="40">
    <w:abstractNumId w:val="30"/>
  </w:num>
  <w:num w:numId="41">
    <w:abstractNumId w:val="18"/>
  </w:num>
  <w:num w:numId="42">
    <w:abstractNumId w:val="4"/>
  </w:num>
  <w:num w:numId="43">
    <w:abstractNumId w:val="24"/>
  </w:num>
  <w:num w:numId="44">
    <w:abstractNumId w:val="5"/>
  </w:num>
  <w:num w:numId="45">
    <w:abstractNumId w:val="1"/>
  </w:num>
  <w:num w:numId="46">
    <w:abstractNumId w:val="1"/>
  </w:num>
  <w:num w:numId="47">
    <w:abstractNumId w:val="38"/>
  </w:num>
  <w:num w:numId="48">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65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1B11"/>
    <w:rsid w:val="000031FA"/>
    <w:rsid w:val="0000509F"/>
    <w:rsid w:val="00013355"/>
    <w:rsid w:val="000146D3"/>
    <w:rsid w:val="00016D8C"/>
    <w:rsid w:val="000175FB"/>
    <w:rsid w:val="0002051F"/>
    <w:rsid w:val="00020DA7"/>
    <w:rsid w:val="00020DCA"/>
    <w:rsid w:val="00022C97"/>
    <w:rsid w:val="00023CD7"/>
    <w:rsid w:val="00027EA2"/>
    <w:rsid w:val="000310EE"/>
    <w:rsid w:val="000318E4"/>
    <w:rsid w:val="00031EE6"/>
    <w:rsid w:val="000361F0"/>
    <w:rsid w:val="0003625C"/>
    <w:rsid w:val="00037122"/>
    <w:rsid w:val="000422DE"/>
    <w:rsid w:val="0004541C"/>
    <w:rsid w:val="0004782A"/>
    <w:rsid w:val="000503BC"/>
    <w:rsid w:val="0005690E"/>
    <w:rsid w:val="00057AF9"/>
    <w:rsid w:val="000602CF"/>
    <w:rsid w:val="000602FA"/>
    <w:rsid w:val="00063D93"/>
    <w:rsid w:val="00066360"/>
    <w:rsid w:val="000664B2"/>
    <w:rsid w:val="00066FF0"/>
    <w:rsid w:val="00067FDA"/>
    <w:rsid w:val="000758C9"/>
    <w:rsid w:val="00080AEA"/>
    <w:rsid w:val="0008195C"/>
    <w:rsid w:val="00081B1E"/>
    <w:rsid w:val="00082CC1"/>
    <w:rsid w:val="00083A9A"/>
    <w:rsid w:val="00084A5E"/>
    <w:rsid w:val="00085E86"/>
    <w:rsid w:val="00085EB7"/>
    <w:rsid w:val="00086877"/>
    <w:rsid w:val="000872BF"/>
    <w:rsid w:val="00091282"/>
    <w:rsid w:val="000912CD"/>
    <w:rsid w:val="000945D3"/>
    <w:rsid w:val="000961D5"/>
    <w:rsid w:val="000962C6"/>
    <w:rsid w:val="00097F2D"/>
    <w:rsid w:val="000A23DB"/>
    <w:rsid w:val="000A5973"/>
    <w:rsid w:val="000B17CB"/>
    <w:rsid w:val="000B1E99"/>
    <w:rsid w:val="000B28F6"/>
    <w:rsid w:val="000B2F8B"/>
    <w:rsid w:val="000B303F"/>
    <w:rsid w:val="000B3619"/>
    <w:rsid w:val="000B4906"/>
    <w:rsid w:val="000B4D11"/>
    <w:rsid w:val="000B5578"/>
    <w:rsid w:val="000B6BDA"/>
    <w:rsid w:val="000B72B7"/>
    <w:rsid w:val="000B7469"/>
    <w:rsid w:val="000C22A6"/>
    <w:rsid w:val="000C2953"/>
    <w:rsid w:val="000C4E67"/>
    <w:rsid w:val="000C771D"/>
    <w:rsid w:val="000D0F12"/>
    <w:rsid w:val="000D4662"/>
    <w:rsid w:val="000D6F94"/>
    <w:rsid w:val="000E50E1"/>
    <w:rsid w:val="000E545C"/>
    <w:rsid w:val="000E591D"/>
    <w:rsid w:val="000E6E9A"/>
    <w:rsid w:val="000E70A9"/>
    <w:rsid w:val="000E7A07"/>
    <w:rsid w:val="000F1505"/>
    <w:rsid w:val="000F1E4D"/>
    <w:rsid w:val="000F31F2"/>
    <w:rsid w:val="000F3B58"/>
    <w:rsid w:val="000F416D"/>
    <w:rsid w:val="000F5001"/>
    <w:rsid w:val="000F50B4"/>
    <w:rsid w:val="000F5679"/>
    <w:rsid w:val="000F67CE"/>
    <w:rsid w:val="001005AA"/>
    <w:rsid w:val="001020BC"/>
    <w:rsid w:val="00102119"/>
    <w:rsid w:val="001024FF"/>
    <w:rsid w:val="00102A23"/>
    <w:rsid w:val="00104307"/>
    <w:rsid w:val="00107E85"/>
    <w:rsid w:val="001111DB"/>
    <w:rsid w:val="00114FF3"/>
    <w:rsid w:val="00115C7D"/>
    <w:rsid w:val="0011754E"/>
    <w:rsid w:val="00121E2C"/>
    <w:rsid w:val="00123125"/>
    <w:rsid w:val="00124292"/>
    <w:rsid w:val="00127C7A"/>
    <w:rsid w:val="00132250"/>
    <w:rsid w:val="00132FB4"/>
    <w:rsid w:val="00134975"/>
    <w:rsid w:val="00136722"/>
    <w:rsid w:val="00136886"/>
    <w:rsid w:val="001413CC"/>
    <w:rsid w:val="001418A8"/>
    <w:rsid w:val="00143C85"/>
    <w:rsid w:val="0014785D"/>
    <w:rsid w:val="00150BF9"/>
    <w:rsid w:val="00153547"/>
    <w:rsid w:val="00157F7F"/>
    <w:rsid w:val="0016130D"/>
    <w:rsid w:val="00161A0C"/>
    <w:rsid w:val="0016549C"/>
    <w:rsid w:val="00165674"/>
    <w:rsid w:val="001659D7"/>
    <w:rsid w:val="00166333"/>
    <w:rsid w:val="0016784B"/>
    <w:rsid w:val="00170295"/>
    <w:rsid w:val="001704FF"/>
    <w:rsid w:val="00172FA3"/>
    <w:rsid w:val="0017349F"/>
    <w:rsid w:val="0017527B"/>
    <w:rsid w:val="00176771"/>
    <w:rsid w:val="00177ABC"/>
    <w:rsid w:val="00181C80"/>
    <w:rsid w:val="00182EA9"/>
    <w:rsid w:val="00183828"/>
    <w:rsid w:val="00183EF8"/>
    <w:rsid w:val="00186339"/>
    <w:rsid w:val="00190C38"/>
    <w:rsid w:val="0019154F"/>
    <w:rsid w:val="00192565"/>
    <w:rsid w:val="00193AEB"/>
    <w:rsid w:val="00195C03"/>
    <w:rsid w:val="001A3138"/>
    <w:rsid w:val="001A34FA"/>
    <w:rsid w:val="001A684E"/>
    <w:rsid w:val="001B067C"/>
    <w:rsid w:val="001B0733"/>
    <w:rsid w:val="001B1061"/>
    <w:rsid w:val="001B4352"/>
    <w:rsid w:val="001C0A7C"/>
    <w:rsid w:val="001C3ABA"/>
    <w:rsid w:val="001C75F1"/>
    <w:rsid w:val="001D09BA"/>
    <w:rsid w:val="001D1646"/>
    <w:rsid w:val="001D4611"/>
    <w:rsid w:val="001D61AE"/>
    <w:rsid w:val="001E0B38"/>
    <w:rsid w:val="001E0B5D"/>
    <w:rsid w:val="001E0F94"/>
    <w:rsid w:val="001E148F"/>
    <w:rsid w:val="001E2965"/>
    <w:rsid w:val="001E2D40"/>
    <w:rsid w:val="001E43F7"/>
    <w:rsid w:val="001E505C"/>
    <w:rsid w:val="001E6619"/>
    <w:rsid w:val="001E6BA3"/>
    <w:rsid w:val="001F2747"/>
    <w:rsid w:val="001F44EF"/>
    <w:rsid w:val="001F5ECF"/>
    <w:rsid w:val="001F65BC"/>
    <w:rsid w:val="001F7A58"/>
    <w:rsid w:val="001F7C14"/>
    <w:rsid w:val="0020396A"/>
    <w:rsid w:val="00203D64"/>
    <w:rsid w:val="00204635"/>
    <w:rsid w:val="002057B2"/>
    <w:rsid w:val="00206952"/>
    <w:rsid w:val="00207BBA"/>
    <w:rsid w:val="002113A9"/>
    <w:rsid w:val="00211A01"/>
    <w:rsid w:val="0021373E"/>
    <w:rsid w:val="00213870"/>
    <w:rsid w:val="00214282"/>
    <w:rsid w:val="002178E2"/>
    <w:rsid w:val="00224C4E"/>
    <w:rsid w:val="00225477"/>
    <w:rsid w:val="0022702C"/>
    <w:rsid w:val="00231F29"/>
    <w:rsid w:val="00232855"/>
    <w:rsid w:val="00233518"/>
    <w:rsid w:val="0023538B"/>
    <w:rsid w:val="00236008"/>
    <w:rsid w:val="0023787D"/>
    <w:rsid w:val="002403DC"/>
    <w:rsid w:val="00243408"/>
    <w:rsid w:val="00244D08"/>
    <w:rsid w:val="00247326"/>
    <w:rsid w:val="002517DF"/>
    <w:rsid w:val="00255057"/>
    <w:rsid w:val="0025508B"/>
    <w:rsid w:val="002574B6"/>
    <w:rsid w:val="00260988"/>
    <w:rsid w:val="002642A3"/>
    <w:rsid w:val="00267780"/>
    <w:rsid w:val="00274EA7"/>
    <w:rsid w:val="0027747E"/>
    <w:rsid w:val="0027787D"/>
    <w:rsid w:val="002825BA"/>
    <w:rsid w:val="00285299"/>
    <w:rsid w:val="00286752"/>
    <w:rsid w:val="002878D4"/>
    <w:rsid w:val="00293960"/>
    <w:rsid w:val="00297040"/>
    <w:rsid w:val="00297D74"/>
    <w:rsid w:val="002A2FB6"/>
    <w:rsid w:val="002A5DD0"/>
    <w:rsid w:val="002A6D82"/>
    <w:rsid w:val="002A7D22"/>
    <w:rsid w:val="002B0CF2"/>
    <w:rsid w:val="002C1B96"/>
    <w:rsid w:val="002C1CE1"/>
    <w:rsid w:val="002C20D6"/>
    <w:rsid w:val="002C281B"/>
    <w:rsid w:val="002C5CDD"/>
    <w:rsid w:val="002D3601"/>
    <w:rsid w:val="002D3793"/>
    <w:rsid w:val="002D39AA"/>
    <w:rsid w:val="002E0171"/>
    <w:rsid w:val="002E1291"/>
    <w:rsid w:val="002E514E"/>
    <w:rsid w:val="002E758A"/>
    <w:rsid w:val="002E7DEF"/>
    <w:rsid w:val="002F0F3C"/>
    <w:rsid w:val="002F68DE"/>
    <w:rsid w:val="00301694"/>
    <w:rsid w:val="003020BB"/>
    <w:rsid w:val="00303E3F"/>
    <w:rsid w:val="00304694"/>
    <w:rsid w:val="00306D21"/>
    <w:rsid w:val="00312BB5"/>
    <w:rsid w:val="0031359E"/>
    <w:rsid w:val="00315655"/>
    <w:rsid w:val="0031593B"/>
    <w:rsid w:val="0032453D"/>
    <w:rsid w:val="0032476F"/>
    <w:rsid w:val="003279DA"/>
    <w:rsid w:val="003303AB"/>
    <w:rsid w:val="003303E5"/>
    <w:rsid w:val="00331F12"/>
    <w:rsid w:val="0033311F"/>
    <w:rsid w:val="003358E9"/>
    <w:rsid w:val="00335AD5"/>
    <w:rsid w:val="00337065"/>
    <w:rsid w:val="00343804"/>
    <w:rsid w:val="003459B6"/>
    <w:rsid w:val="00347741"/>
    <w:rsid w:val="00347C91"/>
    <w:rsid w:val="0035010F"/>
    <w:rsid w:val="00350E10"/>
    <w:rsid w:val="00351A04"/>
    <w:rsid w:val="00354A53"/>
    <w:rsid w:val="00355D77"/>
    <w:rsid w:val="00360E21"/>
    <w:rsid w:val="00361E5C"/>
    <w:rsid w:val="0036397C"/>
    <w:rsid w:val="00365364"/>
    <w:rsid w:val="00366B2D"/>
    <w:rsid w:val="00367C2D"/>
    <w:rsid w:val="0037256F"/>
    <w:rsid w:val="00375217"/>
    <w:rsid w:val="00375350"/>
    <w:rsid w:val="00381227"/>
    <w:rsid w:val="0038259C"/>
    <w:rsid w:val="0038368C"/>
    <w:rsid w:val="003836ED"/>
    <w:rsid w:val="00386645"/>
    <w:rsid w:val="00390670"/>
    <w:rsid w:val="003913C5"/>
    <w:rsid w:val="00391D88"/>
    <w:rsid w:val="0039451F"/>
    <w:rsid w:val="003947B1"/>
    <w:rsid w:val="00394F40"/>
    <w:rsid w:val="00396911"/>
    <w:rsid w:val="003A0AB4"/>
    <w:rsid w:val="003A1DC2"/>
    <w:rsid w:val="003B6669"/>
    <w:rsid w:val="003C24A8"/>
    <w:rsid w:val="003C6CB5"/>
    <w:rsid w:val="003D0BBB"/>
    <w:rsid w:val="003D237C"/>
    <w:rsid w:val="003D4EE8"/>
    <w:rsid w:val="003D5DA8"/>
    <w:rsid w:val="003E04B8"/>
    <w:rsid w:val="003E06C3"/>
    <w:rsid w:val="003E1CE8"/>
    <w:rsid w:val="003E20D6"/>
    <w:rsid w:val="003E5279"/>
    <w:rsid w:val="003E5529"/>
    <w:rsid w:val="003E568A"/>
    <w:rsid w:val="003E639D"/>
    <w:rsid w:val="003E67ED"/>
    <w:rsid w:val="003E7A59"/>
    <w:rsid w:val="003E7E8E"/>
    <w:rsid w:val="003F451B"/>
    <w:rsid w:val="003F4AEA"/>
    <w:rsid w:val="003F5F89"/>
    <w:rsid w:val="003F6174"/>
    <w:rsid w:val="003F6247"/>
    <w:rsid w:val="003F67E6"/>
    <w:rsid w:val="00400A41"/>
    <w:rsid w:val="004019B9"/>
    <w:rsid w:val="0040221E"/>
    <w:rsid w:val="00403795"/>
    <w:rsid w:val="00403979"/>
    <w:rsid w:val="00403DF5"/>
    <w:rsid w:val="0040680A"/>
    <w:rsid w:val="00407A5B"/>
    <w:rsid w:val="00410155"/>
    <w:rsid w:val="00411254"/>
    <w:rsid w:val="00414B97"/>
    <w:rsid w:val="004175AC"/>
    <w:rsid w:val="004204E2"/>
    <w:rsid w:val="00421359"/>
    <w:rsid w:val="004227DC"/>
    <w:rsid w:val="00434BBC"/>
    <w:rsid w:val="00435213"/>
    <w:rsid w:val="00441F45"/>
    <w:rsid w:val="004432BD"/>
    <w:rsid w:val="00443D16"/>
    <w:rsid w:val="00445493"/>
    <w:rsid w:val="0044601C"/>
    <w:rsid w:val="00451F61"/>
    <w:rsid w:val="0045487D"/>
    <w:rsid w:val="0045499F"/>
    <w:rsid w:val="004550A4"/>
    <w:rsid w:val="00457377"/>
    <w:rsid w:val="00466896"/>
    <w:rsid w:val="0046699A"/>
    <w:rsid w:val="00471A26"/>
    <w:rsid w:val="004737C9"/>
    <w:rsid w:val="00473EAF"/>
    <w:rsid w:val="004748BA"/>
    <w:rsid w:val="00474FBF"/>
    <w:rsid w:val="0047656C"/>
    <w:rsid w:val="0047743E"/>
    <w:rsid w:val="00477CCD"/>
    <w:rsid w:val="004872B8"/>
    <w:rsid w:val="00487625"/>
    <w:rsid w:val="00491509"/>
    <w:rsid w:val="00493B80"/>
    <w:rsid w:val="004949B0"/>
    <w:rsid w:val="004966BD"/>
    <w:rsid w:val="004A0968"/>
    <w:rsid w:val="004A2716"/>
    <w:rsid w:val="004A31CA"/>
    <w:rsid w:val="004A4834"/>
    <w:rsid w:val="004B2B1C"/>
    <w:rsid w:val="004B4378"/>
    <w:rsid w:val="004B52DC"/>
    <w:rsid w:val="004B5CAC"/>
    <w:rsid w:val="004B6262"/>
    <w:rsid w:val="004B64DD"/>
    <w:rsid w:val="004B7608"/>
    <w:rsid w:val="004C0905"/>
    <w:rsid w:val="004C1295"/>
    <w:rsid w:val="004C3A2C"/>
    <w:rsid w:val="004C5EB3"/>
    <w:rsid w:val="004C64D1"/>
    <w:rsid w:val="004D0E5A"/>
    <w:rsid w:val="004D1643"/>
    <w:rsid w:val="004D36CF"/>
    <w:rsid w:val="004D4C4B"/>
    <w:rsid w:val="004D6818"/>
    <w:rsid w:val="004D6E33"/>
    <w:rsid w:val="004E045B"/>
    <w:rsid w:val="004E0545"/>
    <w:rsid w:val="004E12D7"/>
    <w:rsid w:val="004E4FAC"/>
    <w:rsid w:val="004E7BD3"/>
    <w:rsid w:val="004F0285"/>
    <w:rsid w:val="004F2475"/>
    <w:rsid w:val="004F588B"/>
    <w:rsid w:val="004F622A"/>
    <w:rsid w:val="004F6A1B"/>
    <w:rsid w:val="00501447"/>
    <w:rsid w:val="00501E0B"/>
    <w:rsid w:val="00502886"/>
    <w:rsid w:val="00503B5E"/>
    <w:rsid w:val="0051301D"/>
    <w:rsid w:val="0051310B"/>
    <w:rsid w:val="0051434B"/>
    <w:rsid w:val="00516F51"/>
    <w:rsid w:val="00520363"/>
    <w:rsid w:val="00520F64"/>
    <w:rsid w:val="005214BB"/>
    <w:rsid w:val="00523AC2"/>
    <w:rsid w:val="00531C20"/>
    <w:rsid w:val="00532547"/>
    <w:rsid w:val="00533002"/>
    <w:rsid w:val="005332A3"/>
    <w:rsid w:val="0053444B"/>
    <w:rsid w:val="005374E4"/>
    <w:rsid w:val="0054183E"/>
    <w:rsid w:val="00544B22"/>
    <w:rsid w:val="00545966"/>
    <w:rsid w:val="00545DCE"/>
    <w:rsid w:val="005508D4"/>
    <w:rsid w:val="00551620"/>
    <w:rsid w:val="0055573A"/>
    <w:rsid w:val="005557F7"/>
    <w:rsid w:val="005626A5"/>
    <w:rsid w:val="00564328"/>
    <w:rsid w:val="00565552"/>
    <w:rsid w:val="00565E32"/>
    <w:rsid w:val="00573342"/>
    <w:rsid w:val="005737B1"/>
    <w:rsid w:val="005740B5"/>
    <w:rsid w:val="00574762"/>
    <w:rsid w:val="00581394"/>
    <w:rsid w:val="00582710"/>
    <w:rsid w:val="00591A3F"/>
    <w:rsid w:val="00592989"/>
    <w:rsid w:val="00595C07"/>
    <w:rsid w:val="00595E49"/>
    <w:rsid w:val="005A00A1"/>
    <w:rsid w:val="005A2693"/>
    <w:rsid w:val="005A3B17"/>
    <w:rsid w:val="005A4819"/>
    <w:rsid w:val="005A5A5E"/>
    <w:rsid w:val="005A5D05"/>
    <w:rsid w:val="005B18C6"/>
    <w:rsid w:val="005B4170"/>
    <w:rsid w:val="005B5678"/>
    <w:rsid w:val="005B5AFE"/>
    <w:rsid w:val="005C0BE5"/>
    <w:rsid w:val="005C259E"/>
    <w:rsid w:val="005C79C7"/>
    <w:rsid w:val="005D0E25"/>
    <w:rsid w:val="005D2910"/>
    <w:rsid w:val="005D2F12"/>
    <w:rsid w:val="005D4AEA"/>
    <w:rsid w:val="005D65D1"/>
    <w:rsid w:val="005E3D59"/>
    <w:rsid w:val="005E75F2"/>
    <w:rsid w:val="005F1343"/>
    <w:rsid w:val="005F1C85"/>
    <w:rsid w:val="005F4718"/>
    <w:rsid w:val="005F637C"/>
    <w:rsid w:val="005F650E"/>
    <w:rsid w:val="005F781E"/>
    <w:rsid w:val="0060319C"/>
    <w:rsid w:val="0060321C"/>
    <w:rsid w:val="006034C5"/>
    <w:rsid w:val="006054F0"/>
    <w:rsid w:val="00607704"/>
    <w:rsid w:val="006139B5"/>
    <w:rsid w:val="00620311"/>
    <w:rsid w:val="0062285E"/>
    <w:rsid w:val="00622BFE"/>
    <w:rsid w:val="006262B4"/>
    <w:rsid w:val="00630DAD"/>
    <w:rsid w:val="00632BD1"/>
    <w:rsid w:val="006342BB"/>
    <w:rsid w:val="006402B8"/>
    <w:rsid w:val="00640866"/>
    <w:rsid w:val="00650BE0"/>
    <w:rsid w:val="006513FF"/>
    <w:rsid w:val="006514E8"/>
    <w:rsid w:val="00656160"/>
    <w:rsid w:val="0066060C"/>
    <w:rsid w:val="0066187C"/>
    <w:rsid w:val="00661D7C"/>
    <w:rsid w:val="006643CC"/>
    <w:rsid w:val="006646EC"/>
    <w:rsid w:val="0066752B"/>
    <w:rsid w:val="00671CA8"/>
    <w:rsid w:val="00672584"/>
    <w:rsid w:val="0067714D"/>
    <w:rsid w:val="00677811"/>
    <w:rsid w:val="006809ED"/>
    <w:rsid w:val="00681495"/>
    <w:rsid w:val="0068443D"/>
    <w:rsid w:val="00685B80"/>
    <w:rsid w:val="00686834"/>
    <w:rsid w:val="00686C82"/>
    <w:rsid w:val="00690D4C"/>
    <w:rsid w:val="00693B97"/>
    <w:rsid w:val="00695106"/>
    <w:rsid w:val="00696623"/>
    <w:rsid w:val="006971D2"/>
    <w:rsid w:val="00697A70"/>
    <w:rsid w:val="006A1137"/>
    <w:rsid w:val="006A14C0"/>
    <w:rsid w:val="006A497C"/>
    <w:rsid w:val="006A57EB"/>
    <w:rsid w:val="006B2BD0"/>
    <w:rsid w:val="006B3B4F"/>
    <w:rsid w:val="006B543F"/>
    <w:rsid w:val="006B7070"/>
    <w:rsid w:val="006C64FF"/>
    <w:rsid w:val="006D01BB"/>
    <w:rsid w:val="006D155D"/>
    <w:rsid w:val="006D30FE"/>
    <w:rsid w:val="006D4ED6"/>
    <w:rsid w:val="006D7F4D"/>
    <w:rsid w:val="006E1CC0"/>
    <w:rsid w:val="006E2886"/>
    <w:rsid w:val="006E2B2A"/>
    <w:rsid w:val="006E3136"/>
    <w:rsid w:val="006E4C77"/>
    <w:rsid w:val="006E67EC"/>
    <w:rsid w:val="006F298D"/>
    <w:rsid w:val="006F7B66"/>
    <w:rsid w:val="007023FF"/>
    <w:rsid w:val="00704AA4"/>
    <w:rsid w:val="00706C1D"/>
    <w:rsid w:val="007146D4"/>
    <w:rsid w:val="00717B94"/>
    <w:rsid w:val="00720A34"/>
    <w:rsid w:val="00724DD6"/>
    <w:rsid w:val="00726FD3"/>
    <w:rsid w:val="007271C7"/>
    <w:rsid w:val="00727837"/>
    <w:rsid w:val="007301F9"/>
    <w:rsid w:val="007309EA"/>
    <w:rsid w:val="0073275F"/>
    <w:rsid w:val="00735875"/>
    <w:rsid w:val="00736174"/>
    <w:rsid w:val="0074093B"/>
    <w:rsid w:val="007451C0"/>
    <w:rsid w:val="00746D36"/>
    <w:rsid w:val="00747C59"/>
    <w:rsid w:val="0075056F"/>
    <w:rsid w:val="00751EF4"/>
    <w:rsid w:val="00752F5E"/>
    <w:rsid w:val="00755327"/>
    <w:rsid w:val="00756711"/>
    <w:rsid w:val="007626E3"/>
    <w:rsid w:val="00764210"/>
    <w:rsid w:val="00766176"/>
    <w:rsid w:val="00771589"/>
    <w:rsid w:val="00772577"/>
    <w:rsid w:val="00773AA6"/>
    <w:rsid w:val="00774EF1"/>
    <w:rsid w:val="00776435"/>
    <w:rsid w:val="007776A7"/>
    <w:rsid w:val="00777B2C"/>
    <w:rsid w:val="007852E1"/>
    <w:rsid w:val="00786D21"/>
    <w:rsid w:val="00793ADA"/>
    <w:rsid w:val="00793CF2"/>
    <w:rsid w:val="00795E3E"/>
    <w:rsid w:val="007961D5"/>
    <w:rsid w:val="007A34AC"/>
    <w:rsid w:val="007A3829"/>
    <w:rsid w:val="007A4AD7"/>
    <w:rsid w:val="007A71FE"/>
    <w:rsid w:val="007B5079"/>
    <w:rsid w:val="007B540D"/>
    <w:rsid w:val="007B66DB"/>
    <w:rsid w:val="007B6EAD"/>
    <w:rsid w:val="007C0159"/>
    <w:rsid w:val="007C1549"/>
    <w:rsid w:val="007C3196"/>
    <w:rsid w:val="007C44A0"/>
    <w:rsid w:val="007C4730"/>
    <w:rsid w:val="007C5579"/>
    <w:rsid w:val="007C5BF7"/>
    <w:rsid w:val="007C7046"/>
    <w:rsid w:val="007D217D"/>
    <w:rsid w:val="007D22C9"/>
    <w:rsid w:val="007D27A2"/>
    <w:rsid w:val="007D3021"/>
    <w:rsid w:val="007D3FCB"/>
    <w:rsid w:val="007E0BC7"/>
    <w:rsid w:val="007E1076"/>
    <w:rsid w:val="007E1BE2"/>
    <w:rsid w:val="007E3A85"/>
    <w:rsid w:val="007F2489"/>
    <w:rsid w:val="007F2E07"/>
    <w:rsid w:val="007F4BEC"/>
    <w:rsid w:val="007F692A"/>
    <w:rsid w:val="008021EF"/>
    <w:rsid w:val="00803674"/>
    <w:rsid w:val="008051C1"/>
    <w:rsid w:val="00807691"/>
    <w:rsid w:val="00813357"/>
    <w:rsid w:val="00814EC6"/>
    <w:rsid w:val="008220DA"/>
    <w:rsid w:val="00827DB9"/>
    <w:rsid w:val="00832657"/>
    <w:rsid w:val="00832E5A"/>
    <w:rsid w:val="00833FB0"/>
    <w:rsid w:val="0083430C"/>
    <w:rsid w:val="00834ADF"/>
    <w:rsid w:val="008360BD"/>
    <w:rsid w:val="00836E9D"/>
    <w:rsid w:val="008376AB"/>
    <w:rsid w:val="00840A47"/>
    <w:rsid w:val="00842108"/>
    <w:rsid w:val="008422FE"/>
    <w:rsid w:val="00843E2F"/>
    <w:rsid w:val="00845825"/>
    <w:rsid w:val="00847EAE"/>
    <w:rsid w:val="008504F0"/>
    <w:rsid w:val="008513CE"/>
    <w:rsid w:val="00853D78"/>
    <w:rsid w:val="00860121"/>
    <w:rsid w:val="008602F7"/>
    <w:rsid w:val="008618EB"/>
    <w:rsid w:val="00862C2E"/>
    <w:rsid w:val="0086347F"/>
    <w:rsid w:val="00864983"/>
    <w:rsid w:val="0086649C"/>
    <w:rsid w:val="00872013"/>
    <w:rsid w:val="00874062"/>
    <w:rsid w:val="00874546"/>
    <w:rsid w:val="008750E8"/>
    <w:rsid w:val="00875B7C"/>
    <w:rsid w:val="008773F0"/>
    <w:rsid w:val="00877B4A"/>
    <w:rsid w:val="008805B8"/>
    <w:rsid w:val="00882814"/>
    <w:rsid w:val="00884820"/>
    <w:rsid w:val="00884F74"/>
    <w:rsid w:val="0088611F"/>
    <w:rsid w:val="008900A1"/>
    <w:rsid w:val="00892F37"/>
    <w:rsid w:val="00894CF8"/>
    <w:rsid w:val="00895C3E"/>
    <w:rsid w:val="0089764A"/>
    <w:rsid w:val="008A231B"/>
    <w:rsid w:val="008A2F02"/>
    <w:rsid w:val="008A5D2A"/>
    <w:rsid w:val="008A5E34"/>
    <w:rsid w:val="008B2A04"/>
    <w:rsid w:val="008B50EC"/>
    <w:rsid w:val="008C3CE6"/>
    <w:rsid w:val="008C599D"/>
    <w:rsid w:val="008C5A2B"/>
    <w:rsid w:val="008C7317"/>
    <w:rsid w:val="008D4B07"/>
    <w:rsid w:val="008D4D63"/>
    <w:rsid w:val="008D7B8A"/>
    <w:rsid w:val="008E52C3"/>
    <w:rsid w:val="008E6BF0"/>
    <w:rsid w:val="008E79CC"/>
    <w:rsid w:val="008F2A0F"/>
    <w:rsid w:val="008F2CDA"/>
    <w:rsid w:val="008F7959"/>
    <w:rsid w:val="008F7977"/>
    <w:rsid w:val="00902F53"/>
    <w:rsid w:val="00905848"/>
    <w:rsid w:val="00906791"/>
    <w:rsid w:val="00906BCC"/>
    <w:rsid w:val="009132D4"/>
    <w:rsid w:val="00914016"/>
    <w:rsid w:val="00916E1D"/>
    <w:rsid w:val="00920ADC"/>
    <w:rsid w:val="00922DF1"/>
    <w:rsid w:val="009254CE"/>
    <w:rsid w:val="00925AE0"/>
    <w:rsid w:val="00926CDC"/>
    <w:rsid w:val="00927F22"/>
    <w:rsid w:val="009313F3"/>
    <w:rsid w:val="00937C21"/>
    <w:rsid w:val="00940719"/>
    <w:rsid w:val="00942B7A"/>
    <w:rsid w:val="009436FA"/>
    <w:rsid w:val="009500CC"/>
    <w:rsid w:val="00950C44"/>
    <w:rsid w:val="00952CDF"/>
    <w:rsid w:val="00952ED0"/>
    <w:rsid w:val="009530CF"/>
    <w:rsid w:val="00955686"/>
    <w:rsid w:val="00956401"/>
    <w:rsid w:val="00956CD3"/>
    <w:rsid w:val="0095709E"/>
    <w:rsid w:val="009630E2"/>
    <w:rsid w:val="009644AE"/>
    <w:rsid w:val="00965666"/>
    <w:rsid w:val="00967E38"/>
    <w:rsid w:val="009700D7"/>
    <w:rsid w:val="009707ED"/>
    <w:rsid w:val="009713E1"/>
    <w:rsid w:val="00971CD8"/>
    <w:rsid w:val="00971D66"/>
    <w:rsid w:val="00981076"/>
    <w:rsid w:val="00985BB8"/>
    <w:rsid w:val="00987D38"/>
    <w:rsid w:val="009901A7"/>
    <w:rsid w:val="009925C9"/>
    <w:rsid w:val="00992F0B"/>
    <w:rsid w:val="0099764B"/>
    <w:rsid w:val="00997BA5"/>
    <w:rsid w:val="009A13D3"/>
    <w:rsid w:val="009A794B"/>
    <w:rsid w:val="009A79EA"/>
    <w:rsid w:val="009B12BD"/>
    <w:rsid w:val="009B1383"/>
    <w:rsid w:val="009B286D"/>
    <w:rsid w:val="009B30BF"/>
    <w:rsid w:val="009B34AA"/>
    <w:rsid w:val="009B640F"/>
    <w:rsid w:val="009C2433"/>
    <w:rsid w:val="009C2F2C"/>
    <w:rsid w:val="009C358C"/>
    <w:rsid w:val="009C68AB"/>
    <w:rsid w:val="009D1A23"/>
    <w:rsid w:val="009D371E"/>
    <w:rsid w:val="009D6182"/>
    <w:rsid w:val="009E4980"/>
    <w:rsid w:val="009F2974"/>
    <w:rsid w:val="009F33A6"/>
    <w:rsid w:val="009F3887"/>
    <w:rsid w:val="009F3FEB"/>
    <w:rsid w:val="009F4F47"/>
    <w:rsid w:val="00A00D98"/>
    <w:rsid w:val="00A029FE"/>
    <w:rsid w:val="00A040F3"/>
    <w:rsid w:val="00A04BBD"/>
    <w:rsid w:val="00A04DF5"/>
    <w:rsid w:val="00A06DCE"/>
    <w:rsid w:val="00A07ED7"/>
    <w:rsid w:val="00A10A27"/>
    <w:rsid w:val="00A13372"/>
    <w:rsid w:val="00A13C29"/>
    <w:rsid w:val="00A15BD0"/>
    <w:rsid w:val="00A17493"/>
    <w:rsid w:val="00A205F0"/>
    <w:rsid w:val="00A215A2"/>
    <w:rsid w:val="00A23E75"/>
    <w:rsid w:val="00A23FAD"/>
    <w:rsid w:val="00A2440D"/>
    <w:rsid w:val="00A30546"/>
    <w:rsid w:val="00A3171D"/>
    <w:rsid w:val="00A3379C"/>
    <w:rsid w:val="00A3598F"/>
    <w:rsid w:val="00A36B6F"/>
    <w:rsid w:val="00A410A6"/>
    <w:rsid w:val="00A410AD"/>
    <w:rsid w:val="00A42844"/>
    <w:rsid w:val="00A4621D"/>
    <w:rsid w:val="00A46D0E"/>
    <w:rsid w:val="00A56406"/>
    <w:rsid w:val="00A567AA"/>
    <w:rsid w:val="00A56A99"/>
    <w:rsid w:val="00A61725"/>
    <w:rsid w:val="00A62E05"/>
    <w:rsid w:val="00A632CB"/>
    <w:rsid w:val="00A637B6"/>
    <w:rsid w:val="00A67DB0"/>
    <w:rsid w:val="00A733C7"/>
    <w:rsid w:val="00A75F81"/>
    <w:rsid w:val="00A7798C"/>
    <w:rsid w:val="00A77E96"/>
    <w:rsid w:val="00A80A78"/>
    <w:rsid w:val="00A8636C"/>
    <w:rsid w:val="00A912EF"/>
    <w:rsid w:val="00A95946"/>
    <w:rsid w:val="00A95FC2"/>
    <w:rsid w:val="00A96105"/>
    <w:rsid w:val="00AA1870"/>
    <w:rsid w:val="00AA53D7"/>
    <w:rsid w:val="00AA675F"/>
    <w:rsid w:val="00AA71EC"/>
    <w:rsid w:val="00AB34CA"/>
    <w:rsid w:val="00AB391D"/>
    <w:rsid w:val="00AB51E8"/>
    <w:rsid w:val="00AB523F"/>
    <w:rsid w:val="00AC0673"/>
    <w:rsid w:val="00AC082E"/>
    <w:rsid w:val="00AC44C0"/>
    <w:rsid w:val="00AD07D0"/>
    <w:rsid w:val="00AD184A"/>
    <w:rsid w:val="00AD20ED"/>
    <w:rsid w:val="00AD2598"/>
    <w:rsid w:val="00AD6FBA"/>
    <w:rsid w:val="00AE3E83"/>
    <w:rsid w:val="00AE7D89"/>
    <w:rsid w:val="00AF0CAD"/>
    <w:rsid w:val="00AF131B"/>
    <w:rsid w:val="00AF146B"/>
    <w:rsid w:val="00AF31F8"/>
    <w:rsid w:val="00AF7674"/>
    <w:rsid w:val="00AF7E2F"/>
    <w:rsid w:val="00B0034B"/>
    <w:rsid w:val="00B01195"/>
    <w:rsid w:val="00B02D07"/>
    <w:rsid w:val="00B04603"/>
    <w:rsid w:val="00B100BA"/>
    <w:rsid w:val="00B12245"/>
    <w:rsid w:val="00B1501A"/>
    <w:rsid w:val="00B155C9"/>
    <w:rsid w:val="00B16A96"/>
    <w:rsid w:val="00B2281C"/>
    <w:rsid w:val="00B2406C"/>
    <w:rsid w:val="00B242C3"/>
    <w:rsid w:val="00B25189"/>
    <w:rsid w:val="00B262FF"/>
    <w:rsid w:val="00B26462"/>
    <w:rsid w:val="00B26FCA"/>
    <w:rsid w:val="00B32CB5"/>
    <w:rsid w:val="00B36FCC"/>
    <w:rsid w:val="00B42D88"/>
    <w:rsid w:val="00B42F87"/>
    <w:rsid w:val="00B4619C"/>
    <w:rsid w:val="00B4623C"/>
    <w:rsid w:val="00B472A6"/>
    <w:rsid w:val="00B47E2E"/>
    <w:rsid w:val="00B50700"/>
    <w:rsid w:val="00B50D9D"/>
    <w:rsid w:val="00B51765"/>
    <w:rsid w:val="00B53A5C"/>
    <w:rsid w:val="00B54126"/>
    <w:rsid w:val="00B56453"/>
    <w:rsid w:val="00B61491"/>
    <w:rsid w:val="00B6359C"/>
    <w:rsid w:val="00B641C5"/>
    <w:rsid w:val="00B66656"/>
    <w:rsid w:val="00B66CCB"/>
    <w:rsid w:val="00B67259"/>
    <w:rsid w:val="00B733C3"/>
    <w:rsid w:val="00B775A8"/>
    <w:rsid w:val="00B80D3C"/>
    <w:rsid w:val="00B83977"/>
    <w:rsid w:val="00B87FB5"/>
    <w:rsid w:val="00B90126"/>
    <w:rsid w:val="00B934D8"/>
    <w:rsid w:val="00B943D9"/>
    <w:rsid w:val="00B951CE"/>
    <w:rsid w:val="00B95BEE"/>
    <w:rsid w:val="00B960E5"/>
    <w:rsid w:val="00BA3FA7"/>
    <w:rsid w:val="00BA6105"/>
    <w:rsid w:val="00BA6A7D"/>
    <w:rsid w:val="00BA7BB6"/>
    <w:rsid w:val="00BB05F4"/>
    <w:rsid w:val="00BB0A12"/>
    <w:rsid w:val="00BB0F91"/>
    <w:rsid w:val="00BB0FFA"/>
    <w:rsid w:val="00BB4C2A"/>
    <w:rsid w:val="00BB59BE"/>
    <w:rsid w:val="00BC32F7"/>
    <w:rsid w:val="00BC661C"/>
    <w:rsid w:val="00BC6AAC"/>
    <w:rsid w:val="00BC79AB"/>
    <w:rsid w:val="00BC7E02"/>
    <w:rsid w:val="00BC7F26"/>
    <w:rsid w:val="00BD0011"/>
    <w:rsid w:val="00BD0E50"/>
    <w:rsid w:val="00BD3404"/>
    <w:rsid w:val="00BD68EE"/>
    <w:rsid w:val="00BE1216"/>
    <w:rsid w:val="00BE6EE5"/>
    <w:rsid w:val="00BF0CAB"/>
    <w:rsid w:val="00BF4667"/>
    <w:rsid w:val="00BF71A8"/>
    <w:rsid w:val="00BF78A0"/>
    <w:rsid w:val="00C00BC6"/>
    <w:rsid w:val="00C015A9"/>
    <w:rsid w:val="00C03C94"/>
    <w:rsid w:val="00C04F7B"/>
    <w:rsid w:val="00C0703C"/>
    <w:rsid w:val="00C07A46"/>
    <w:rsid w:val="00C112EE"/>
    <w:rsid w:val="00C226BF"/>
    <w:rsid w:val="00C22730"/>
    <w:rsid w:val="00C2300A"/>
    <w:rsid w:val="00C25BA7"/>
    <w:rsid w:val="00C30B5F"/>
    <w:rsid w:val="00C349EB"/>
    <w:rsid w:val="00C3768C"/>
    <w:rsid w:val="00C416F5"/>
    <w:rsid w:val="00C479DD"/>
    <w:rsid w:val="00C5148D"/>
    <w:rsid w:val="00C51D9D"/>
    <w:rsid w:val="00C5375C"/>
    <w:rsid w:val="00C5470A"/>
    <w:rsid w:val="00C55264"/>
    <w:rsid w:val="00C56864"/>
    <w:rsid w:val="00C5689B"/>
    <w:rsid w:val="00C62C34"/>
    <w:rsid w:val="00C700AD"/>
    <w:rsid w:val="00C74A4F"/>
    <w:rsid w:val="00C75E9A"/>
    <w:rsid w:val="00C773EB"/>
    <w:rsid w:val="00C775D3"/>
    <w:rsid w:val="00C802CD"/>
    <w:rsid w:val="00C82566"/>
    <w:rsid w:val="00C844C7"/>
    <w:rsid w:val="00C87F14"/>
    <w:rsid w:val="00C90E23"/>
    <w:rsid w:val="00C9491F"/>
    <w:rsid w:val="00C94E59"/>
    <w:rsid w:val="00CA1E96"/>
    <w:rsid w:val="00CA4B11"/>
    <w:rsid w:val="00CA6564"/>
    <w:rsid w:val="00CB21EC"/>
    <w:rsid w:val="00CB4CAC"/>
    <w:rsid w:val="00CB678B"/>
    <w:rsid w:val="00CB7A96"/>
    <w:rsid w:val="00CC10B6"/>
    <w:rsid w:val="00CC4EAF"/>
    <w:rsid w:val="00CD4CFB"/>
    <w:rsid w:val="00CD76FB"/>
    <w:rsid w:val="00CE3DEF"/>
    <w:rsid w:val="00CE4D49"/>
    <w:rsid w:val="00CE50D2"/>
    <w:rsid w:val="00CE6A74"/>
    <w:rsid w:val="00CF479B"/>
    <w:rsid w:val="00CF48B0"/>
    <w:rsid w:val="00D02938"/>
    <w:rsid w:val="00D0343B"/>
    <w:rsid w:val="00D05E9C"/>
    <w:rsid w:val="00D10980"/>
    <w:rsid w:val="00D11D77"/>
    <w:rsid w:val="00D14ED1"/>
    <w:rsid w:val="00D15BC9"/>
    <w:rsid w:val="00D1745A"/>
    <w:rsid w:val="00D17FDF"/>
    <w:rsid w:val="00D215E4"/>
    <w:rsid w:val="00D221AA"/>
    <w:rsid w:val="00D23990"/>
    <w:rsid w:val="00D24EF1"/>
    <w:rsid w:val="00D2537D"/>
    <w:rsid w:val="00D255FB"/>
    <w:rsid w:val="00D27E20"/>
    <w:rsid w:val="00D3203C"/>
    <w:rsid w:val="00D3318B"/>
    <w:rsid w:val="00D427C0"/>
    <w:rsid w:val="00D441C0"/>
    <w:rsid w:val="00D45A7A"/>
    <w:rsid w:val="00D52739"/>
    <w:rsid w:val="00D53ED2"/>
    <w:rsid w:val="00D60ADA"/>
    <w:rsid w:val="00D645D5"/>
    <w:rsid w:val="00D66A76"/>
    <w:rsid w:val="00D76884"/>
    <w:rsid w:val="00D854EF"/>
    <w:rsid w:val="00D85E83"/>
    <w:rsid w:val="00D928EE"/>
    <w:rsid w:val="00D95202"/>
    <w:rsid w:val="00D95282"/>
    <w:rsid w:val="00D95382"/>
    <w:rsid w:val="00D95D49"/>
    <w:rsid w:val="00D966F2"/>
    <w:rsid w:val="00DA06FF"/>
    <w:rsid w:val="00DA108A"/>
    <w:rsid w:val="00DA2F59"/>
    <w:rsid w:val="00DA35CF"/>
    <w:rsid w:val="00DA3DCA"/>
    <w:rsid w:val="00DA563E"/>
    <w:rsid w:val="00DA567A"/>
    <w:rsid w:val="00DA696F"/>
    <w:rsid w:val="00DA7EB1"/>
    <w:rsid w:val="00DB1F0F"/>
    <w:rsid w:val="00DB3A1B"/>
    <w:rsid w:val="00DC09FC"/>
    <w:rsid w:val="00DC665C"/>
    <w:rsid w:val="00DD092B"/>
    <w:rsid w:val="00DD0F34"/>
    <w:rsid w:val="00DD3FAE"/>
    <w:rsid w:val="00DD4870"/>
    <w:rsid w:val="00DD7620"/>
    <w:rsid w:val="00DE0D7C"/>
    <w:rsid w:val="00DE2F75"/>
    <w:rsid w:val="00DE4363"/>
    <w:rsid w:val="00DE7B10"/>
    <w:rsid w:val="00DE7B15"/>
    <w:rsid w:val="00DF4D06"/>
    <w:rsid w:val="00DF5C63"/>
    <w:rsid w:val="00DF6A99"/>
    <w:rsid w:val="00DF72FA"/>
    <w:rsid w:val="00E011FE"/>
    <w:rsid w:val="00E01A58"/>
    <w:rsid w:val="00E02155"/>
    <w:rsid w:val="00E05F5C"/>
    <w:rsid w:val="00E0674F"/>
    <w:rsid w:val="00E104F6"/>
    <w:rsid w:val="00E111F3"/>
    <w:rsid w:val="00E12C6C"/>
    <w:rsid w:val="00E131BA"/>
    <w:rsid w:val="00E16A7F"/>
    <w:rsid w:val="00E171F8"/>
    <w:rsid w:val="00E24DC1"/>
    <w:rsid w:val="00E30759"/>
    <w:rsid w:val="00E30B3C"/>
    <w:rsid w:val="00E327BF"/>
    <w:rsid w:val="00E40C71"/>
    <w:rsid w:val="00E42F9B"/>
    <w:rsid w:val="00E43E0D"/>
    <w:rsid w:val="00E45C1C"/>
    <w:rsid w:val="00E521D2"/>
    <w:rsid w:val="00E52951"/>
    <w:rsid w:val="00E54EE0"/>
    <w:rsid w:val="00E560E9"/>
    <w:rsid w:val="00E56654"/>
    <w:rsid w:val="00E56EA9"/>
    <w:rsid w:val="00E56EFA"/>
    <w:rsid w:val="00E57A05"/>
    <w:rsid w:val="00E61DE4"/>
    <w:rsid w:val="00E63175"/>
    <w:rsid w:val="00E761B4"/>
    <w:rsid w:val="00E764B9"/>
    <w:rsid w:val="00E805AB"/>
    <w:rsid w:val="00E81855"/>
    <w:rsid w:val="00E82ADE"/>
    <w:rsid w:val="00E86E98"/>
    <w:rsid w:val="00E87260"/>
    <w:rsid w:val="00EA6463"/>
    <w:rsid w:val="00EA6642"/>
    <w:rsid w:val="00EA6D8C"/>
    <w:rsid w:val="00EA7D9B"/>
    <w:rsid w:val="00EB7712"/>
    <w:rsid w:val="00EC0A77"/>
    <w:rsid w:val="00EC2FA3"/>
    <w:rsid w:val="00EC3DB6"/>
    <w:rsid w:val="00EC4D9D"/>
    <w:rsid w:val="00ED1F61"/>
    <w:rsid w:val="00ED2445"/>
    <w:rsid w:val="00ED2766"/>
    <w:rsid w:val="00ED5373"/>
    <w:rsid w:val="00ED7F51"/>
    <w:rsid w:val="00EE393C"/>
    <w:rsid w:val="00EE3E03"/>
    <w:rsid w:val="00EE5F8D"/>
    <w:rsid w:val="00EE60D3"/>
    <w:rsid w:val="00EE6A41"/>
    <w:rsid w:val="00EE7C14"/>
    <w:rsid w:val="00EF196E"/>
    <w:rsid w:val="00EF2234"/>
    <w:rsid w:val="00EF461F"/>
    <w:rsid w:val="00F005CD"/>
    <w:rsid w:val="00F00F64"/>
    <w:rsid w:val="00F0207F"/>
    <w:rsid w:val="00F0464F"/>
    <w:rsid w:val="00F05E56"/>
    <w:rsid w:val="00F10AB4"/>
    <w:rsid w:val="00F149E9"/>
    <w:rsid w:val="00F15A1B"/>
    <w:rsid w:val="00F16127"/>
    <w:rsid w:val="00F1730A"/>
    <w:rsid w:val="00F17F59"/>
    <w:rsid w:val="00F23907"/>
    <w:rsid w:val="00F24B5C"/>
    <w:rsid w:val="00F250B9"/>
    <w:rsid w:val="00F25599"/>
    <w:rsid w:val="00F32B89"/>
    <w:rsid w:val="00F32CF3"/>
    <w:rsid w:val="00F334D1"/>
    <w:rsid w:val="00F36FBD"/>
    <w:rsid w:val="00F37469"/>
    <w:rsid w:val="00F4208C"/>
    <w:rsid w:val="00F43CA7"/>
    <w:rsid w:val="00F45189"/>
    <w:rsid w:val="00F521D7"/>
    <w:rsid w:val="00F531A7"/>
    <w:rsid w:val="00F53F06"/>
    <w:rsid w:val="00F544A2"/>
    <w:rsid w:val="00F54A55"/>
    <w:rsid w:val="00F553E3"/>
    <w:rsid w:val="00F564D7"/>
    <w:rsid w:val="00F62F1D"/>
    <w:rsid w:val="00F636F3"/>
    <w:rsid w:val="00F63A3D"/>
    <w:rsid w:val="00F666C5"/>
    <w:rsid w:val="00F71D05"/>
    <w:rsid w:val="00F75DAF"/>
    <w:rsid w:val="00F75EAB"/>
    <w:rsid w:val="00F7604E"/>
    <w:rsid w:val="00F77A12"/>
    <w:rsid w:val="00F81B50"/>
    <w:rsid w:val="00F8506E"/>
    <w:rsid w:val="00F866CE"/>
    <w:rsid w:val="00F90CFF"/>
    <w:rsid w:val="00F9229B"/>
    <w:rsid w:val="00F96A2B"/>
    <w:rsid w:val="00F96C4B"/>
    <w:rsid w:val="00FA40BB"/>
    <w:rsid w:val="00FA4D98"/>
    <w:rsid w:val="00FB0213"/>
    <w:rsid w:val="00FB0AE6"/>
    <w:rsid w:val="00FB2BF7"/>
    <w:rsid w:val="00FB3AF8"/>
    <w:rsid w:val="00FB4656"/>
    <w:rsid w:val="00FB656D"/>
    <w:rsid w:val="00FC2BCC"/>
    <w:rsid w:val="00FC334B"/>
    <w:rsid w:val="00FC34DF"/>
    <w:rsid w:val="00FC4C37"/>
    <w:rsid w:val="00FC4F3E"/>
    <w:rsid w:val="00FC6C2F"/>
    <w:rsid w:val="00FC76D4"/>
    <w:rsid w:val="00FD336F"/>
    <w:rsid w:val="00FD7A31"/>
    <w:rsid w:val="00FE0831"/>
    <w:rsid w:val="00FE0C0A"/>
    <w:rsid w:val="00FE24CB"/>
    <w:rsid w:val="00FE2AAF"/>
    <w:rsid w:val="00FE2B10"/>
    <w:rsid w:val="00FF0245"/>
    <w:rsid w:val="00FF1E8E"/>
    <w:rsid w:val="00FF4ED5"/>
    <w:rsid w:val="00FF582E"/>
    <w:rsid w:val="5BBF8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shapelayout v:ext="edit">
      <o:idmap v:ext="edit" data="1"/>
    </o:shapelayout>
  </w:shapeDefaults>
  <w:decimalSymbol w:val="."/>
  <w:listSeparator w:val=","/>
  <w14:docId w14:val="2FBB46CB"/>
  <w15:docId w15:val="{F12B8F2A-CB0F-43DB-BD15-D0F84217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061"/>
    <w:pPr>
      <w:widowControl w:val="0"/>
      <w:spacing w:line="260" w:lineRule="exact"/>
    </w:pPr>
    <w:rPr>
      <w:rFonts w:ascii="Frutiger 45 Light" w:hAnsi="Frutiger 45 Light"/>
      <w:sz w:val="22"/>
      <w:lang w:eastAsia="en-US"/>
    </w:rPr>
  </w:style>
  <w:style w:type="paragraph" w:styleId="Heading1">
    <w:name w:val="heading 1"/>
    <w:aliases w:val="~SectionHeading"/>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rPr>
      <w:b/>
    </w:rPr>
  </w:style>
  <w:style w:type="character" w:customStyle="1" w:styleId="DateCharacterstyle">
    <w:name w:val="Date Character style"/>
    <w:rPr>
      <w:b/>
    </w:rPr>
  </w:style>
  <w:style w:type="paragraph" w:customStyle="1" w:styleId="Heading2Bold">
    <w:name w:val="Heading 2 Bold"/>
    <w:basedOn w:val="Heading2"/>
    <w:rPr>
      <w:b/>
      <w:noProof/>
    </w:rPr>
  </w:style>
  <w:style w:type="paragraph" w:customStyle="1" w:styleId="Bullettext">
    <w:name w:val="Bullet text"/>
    <w:basedOn w:val="Body"/>
    <w:pPr>
      <w:numPr>
        <w:numId w:val="1"/>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rsid w:val="00834ADF"/>
    <w:rPr>
      <w:color w:val="0000FF"/>
      <w:u w:val="single"/>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D10980"/>
    <w:pPr>
      <w:ind w:left="720"/>
    </w:pPr>
  </w:style>
  <w:style w:type="paragraph" w:styleId="FootnoteText">
    <w:name w:val="footnote text"/>
    <w:aliases w:val="Char, Char"/>
    <w:basedOn w:val="Normal"/>
    <w:link w:val="FootnoteTextChar"/>
    <w:uiPriority w:val="99"/>
    <w:rsid w:val="00F71D05"/>
    <w:rPr>
      <w:sz w:val="20"/>
    </w:rPr>
  </w:style>
  <w:style w:type="character" w:styleId="FootnoteReference">
    <w:name w:val="footnote reference"/>
    <w:aliases w:val="number"/>
    <w:uiPriority w:val="99"/>
    <w:rsid w:val="00F71D05"/>
    <w:rPr>
      <w:vertAlign w:val="superscript"/>
    </w:rPr>
  </w:style>
  <w:style w:type="paragraph" w:styleId="BalloonText">
    <w:name w:val="Balloon Text"/>
    <w:basedOn w:val="Normal"/>
    <w:semiHidden/>
    <w:rsid w:val="00EC0A77"/>
    <w:rPr>
      <w:rFonts w:ascii="Tahoma" w:hAnsi="Tahoma" w:cs="Tahoma"/>
      <w:sz w:val="16"/>
      <w:szCs w:val="16"/>
    </w:rPr>
  </w:style>
  <w:style w:type="paragraph" w:customStyle="1" w:styleId="MainText">
    <w:name w:val="Main Text"/>
    <w:basedOn w:val="Normal"/>
    <w:rsid w:val="006A497C"/>
    <w:pPr>
      <w:widowControl/>
      <w:spacing w:line="280" w:lineRule="exact"/>
    </w:pPr>
    <w:rPr>
      <w:lang w:eastAsia="en-GB"/>
    </w:rPr>
  </w:style>
  <w:style w:type="paragraph" w:customStyle="1" w:styleId="Default">
    <w:name w:val="Default"/>
    <w:rsid w:val="006A497C"/>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6A497C"/>
    <w:pPr>
      <w:spacing w:line="201" w:lineRule="atLeast"/>
    </w:pPr>
    <w:rPr>
      <w:rFonts w:ascii="DIN-Regular" w:hAnsi="DIN-Regular" w:cs="Times New Roman"/>
      <w:color w:val="auto"/>
    </w:rPr>
  </w:style>
  <w:style w:type="paragraph" w:customStyle="1" w:styleId="BodyText">
    <w:name w:val="~BodyText"/>
    <w:basedOn w:val="Normal"/>
    <w:rsid w:val="0051301D"/>
    <w:pPr>
      <w:widowControl/>
      <w:tabs>
        <w:tab w:val="num" w:pos="1134"/>
      </w:tabs>
      <w:spacing w:before="120" w:line="276" w:lineRule="auto"/>
      <w:ind w:hanging="567"/>
    </w:pPr>
    <w:rPr>
      <w:rFonts w:ascii="Arial" w:hAnsi="Arial" w:cs="Arial"/>
      <w:color w:val="000000"/>
      <w:szCs w:val="22"/>
    </w:rPr>
  </w:style>
  <w:style w:type="paragraph" w:customStyle="1" w:styleId="Bullet1">
    <w:name w:val="~Bullet1"/>
    <w:basedOn w:val="Normal"/>
    <w:rsid w:val="0051301D"/>
    <w:pPr>
      <w:widowControl/>
      <w:numPr>
        <w:numId w:val="3"/>
      </w:numPr>
      <w:spacing w:before="80" w:line="276" w:lineRule="auto"/>
    </w:pPr>
    <w:rPr>
      <w:rFonts w:ascii="Arial" w:hAnsi="Arial" w:cs="Arial"/>
      <w:szCs w:val="22"/>
    </w:rPr>
  </w:style>
  <w:style w:type="paragraph" w:customStyle="1" w:styleId="Bullet2">
    <w:name w:val="~Bullet2"/>
    <w:basedOn w:val="Bullet1"/>
    <w:rsid w:val="0051301D"/>
    <w:pPr>
      <w:numPr>
        <w:ilvl w:val="1"/>
      </w:numPr>
    </w:pPr>
  </w:style>
  <w:style w:type="paragraph" w:customStyle="1" w:styleId="Bullet3">
    <w:name w:val="~Bullet3"/>
    <w:basedOn w:val="Bullet2"/>
    <w:rsid w:val="0051301D"/>
    <w:pPr>
      <w:numPr>
        <w:ilvl w:val="2"/>
      </w:numPr>
    </w:pPr>
  </w:style>
  <w:style w:type="paragraph" w:styleId="NormalWeb">
    <w:name w:val="Normal (Web)"/>
    <w:basedOn w:val="Normal"/>
    <w:uiPriority w:val="99"/>
    <w:rsid w:val="0051301D"/>
    <w:pPr>
      <w:widowControl/>
      <w:spacing w:before="100" w:beforeAutospacing="1" w:after="100" w:afterAutospacing="1" w:line="240" w:lineRule="auto"/>
    </w:pPr>
    <w:rPr>
      <w:rFonts w:ascii="Times New Roman" w:hAnsi="Times New Roman"/>
      <w:sz w:val="24"/>
      <w:szCs w:val="24"/>
      <w:lang w:eastAsia="en-GB"/>
    </w:rPr>
  </w:style>
  <w:style w:type="table" w:styleId="TableGrid">
    <w:name w:val="Table Grid"/>
    <w:basedOn w:val="TableNormal"/>
    <w:rsid w:val="00513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2">
    <w:name w:val="CM42"/>
    <w:basedOn w:val="Normal"/>
    <w:next w:val="Normal"/>
    <w:rsid w:val="000F50B4"/>
    <w:pPr>
      <w:widowControl/>
      <w:autoSpaceDE w:val="0"/>
      <w:autoSpaceDN w:val="0"/>
      <w:adjustRightInd w:val="0"/>
      <w:spacing w:line="240" w:lineRule="auto"/>
    </w:pPr>
    <w:rPr>
      <w:rFonts w:ascii="Bliss" w:hAnsi="Bliss"/>
      <w:sz w:val="24"/>
      <w:szCs w:val="24"/>
      <w:lang w:eastAsia="en-GB"/>
    </w:rPr>
  </w:style>
  <w:style w:type="character" w:styleId="Strong">
    <w:name w:val="Strong"/>
    <w:uiPriority w:val="22"/>
    <w:qFormat/>
    <w:rsid w:val="008618EB"/>
    <w:rPr>
      <w:b/>
      <w:bCs/>
    </w:rPr>
  </w:style>
  <w:style w:type="paragraph" w:customStyle="1" w:styleId="BasicParagraph">
    <w:name w:val="[Basic Paragraph]"/>
    <w:basedOn w:val="Normal"/>
    <w:rsid w:val="008618EB"/>
    <w:pPr>
      <w:autoSpaceDE w:val="0"/>
      <w:autoSpaceDN w:val="0"/>
      <w:adjustRightInd w:val="0"/>
      <w:spacing w:line="288" w:lineRule="auto"/>
      <w:textAlignment w:val="center"/>
    </w:pPr>
    <w:rPr>
      <w:rFonts w:ascii="Times-Roman" w:hAnsi="Times-Roman" w:cs="Times-Roman"/>
      <w:color w:val="000000"/>
      <w:sz w:val="24"/>
      <w:szCs w:val="24"/>
      <w:lang w:eastAsia="en-GB"/>
    </w:rPr>
  </w:style>
  <w:style w:type="character" w:customStyle="1" w:styleId="FootnoteTextChar">
    <w:name w:val="Footnote Text Char"/>
    <w:aliases w:val="Char Char, Char Char"/>
    <w:link w:val="FootnoteText"/>
    <w:uiPriority w:val="99"/>
    <w:locked/>
    <w:rsid w:val="00884820"/>
    <w:rPr>
      <w:rFonts w:ascii="Frutiger 45 Light" w:hAnsi="Frutiger 45 Light"/>
      <w:lang w:val="en-GB" w:eastAsia="en-US" w:bidi="ar-SA"/>
    </w:rPr>
  </w:style>
  <w:style w:type="character" w:customStyle="1" w:styleId="apple-style-span">
    <w:name w:val="apple-style-span"/>
    <w:rsid w:val="00F05E56"/>
  </w:style>
  <w:style w:type="character" w:customStyle="1" w:styleId="apple-converted-space">
    <w:name w:val="apple-converted-space"/>
    <w:rsid w:val="00F05E56"/>
  </w:style>
  <w:style w:type="paragraph" w:styleId="Revision">
    <w:name w:val="Revision"/>
    <w:hidden/>
    <w:uiPriority w:val="99"/>
    <w:semiHidden/>
    <w:rsid w:val="00F05E56"/>
    <w:rPr>
      <w:rFonts w:ascii="Frutiger 45 Light" w:hAnsi="Frutiger 45 Light"/>
      <w:sz w:val="22"/>
      <w:lang w:eastAsia="en-US"/>
    </w:rPr>
  </w:style>
  <w:style w:type="character" w:customStyle="1" w:styleId="CharCharChar">
    <w:name w:val="Char Char Char"/>
    <w:semiHidden/>
    <w:rsid w:val="0017349F"/>
    <w:rPr>
      <w:rFonts w:ascii="Frutiger 45 Light" w:hAnsi="Frutiger 45 Light"/>
      <w:lang w:val="en-GB" w:eastAsia="en-GB" w:bidi="ar-SA"/>
    </w:rPr>
  </w:style>
  <w:style w:type="character" w:styleId="CommentReference">
    <w:name w:val="annotation reference"/>
    <w:semiHidden/>
    <w:rsid w:val="00CA1E96"/>
    <w:rPr>
      <w:sz w:val="16"/>
      <w:szCs w:val="16"/>
    </w:rPr>
  </w:style>
  <w:style w:type="paragraph" w:styleId="CommentText">
    <w:name w:val="annotation text"/>
    <w:basedOn w:val="Normal"/>
    <w:semiHidden/>
    <w:rsid w:val="00CA1E96"/>
    <w:rPr>
      <w:sz w:val="20"/>
    </w:rPr>
  </w:style>
  <w:style w:type="paragraph" w:styleId="CommentSubject">
    <w:name w:val="annotation subject"/>
    <w:basedOn w:val="CommentText"/>
    <w:next w:val="CommentText"/>
    <w:semiHidden/>
    <w:rsid w:val="00CA1E96"/>
    <w:rPr>
      <w:b/>
      <w:bCs/>
    </w:rPr>
  </w:style>
  <w:style w:type="character" w:customStyle="1" w:styleId="cheriewillers">
    <w:name w:val="cherie.willers"/>
    <w:semiHidden/>
    <w:rsid w:val="001B1061"/>
    <w:rPr>
      <w:rFonts w:ascii="Arial" w:hAnsi="Arial" w:cs="Arial"/>
      <w:color w:val="000080"/>
      <w:sz w:val="20"/>
      <w:szCs w:val="20"/>
    </w:rPr>
  </w:style>
  <w:style w:type="paragraph" w:customStyle="1" w:styleId="introduction">
    <w:name w:val="introduction"/>
    <w:basedOn w:val="Normal"/>
    <w:rsid w:val="00956401"/>
    <w:pPr>
      <w:widowControl/>
      <w:spacing w:before="100" w:beforeAutospacing="1" w:after="100" w:afterAutospacing="1" w:line="240" w:lineRule="auto"/>
    </w:pPr>
    <w:rPr>
      <w:rFonts w:ascii="Times New Roman" w:hAnsi="Times New Roman"/>
      <w:sz w:val="24"/>
      <w:szCs w:val="24"/>
      <w:lang w:eastAsia="en-GB"/>
    </w:rPr>
  </w:style>
  <w:style w:type="character" w:styleId="FollowedHyperlink">
    <w:name w:val="FollowedHyperlink"/>
    <w:rsid w:val="00CB4CAC"/>
    <w:rPr>
      <w:color w:val="800080"/>
      <w:u w:val="single"/>
    </w:rPr>
  </w:style>
  <w:style w:type="character" w:customStyle="1" w:styleId="FooterChar">
    <w:name w:val="Footer Char"/>
    <w:link w:val="Footer"/>
    <w:uiPriority w:val="99"/>
    <w:rsid w:val="00083A9A"/>
    <w:rPr>
      <w:rFonts w:ascii="Frutiger 45 Light" w:hAnsi="Frutiger 45 Light"/>
      <w:sz w:val="22"/>
      <w:lang w:eastAsia="en-US"/>
    </w:rPr>
  </w:style>
  <w:style w:type="paragraph" w:styleId="NoSpacing">
    <w:name w:val="No Spacing"/>
    <w:basedOn w:val="Normal"/>
    <w:uiPriority w:val="1"/>
    <w:qFormat/>
    <w:rsid w:val="00232855"/>
    <w:pPr>
      <w:widowControl/>
      <w:spacing w:line="240" w:lineRule="auto"/>
    </w:pPr>
    <w:rPr>
      <w:rFonts w:ascii="Times New Roman" w:eastAsiaTheme="minorHAnsi" w:hAnsi="Times New Roman"/>
      <w:sz w:val="24"/>
      <w:szCs w:val="24"/>
      <w:lang w:eastAsia="en-GB"/>
    </w:rPr>
  </w:style>
  <w:style w:type="paragraph" w:styleId="PlainText">
    <w:name w:val="Plain Text"/>
    <w:basedOn w:val="Normal"/>
    <w:link w:val="PlainTextChar"/>
    <w:uiPriority w:val="99"/>
    <w:unhideWhenUsed/>
    <w:rsid w:val="00176771"/>
    <w:pPr>
      <w:widowControl/>
      <w:spacing w:line="240" w:lineRule="auto"/>
    </w:pPr>
    <w:rPr>
      <w:rFonts w:ascii="Arial" w:eastAsiaTheme="minorHAnsi" w:hAnsi="Arial" w:cs="Arial"/>
      <w:szCs w:val="22"/>
    </w:rPr>
  </w:style>
  <w:style w:type="character" w:customStyle="1" w:styleId="PlainTextChar">
    <w:name w:val="Plain Text Char"/>
    <w:basedOn w:val="DefaultParagraphFont"/>
    <w:link w:val="PlainText"/>
    <w:uiPriority w:val="99"/>
    <w:rsid w:val="00176771"/>
    <w:rPr>
      <w:rFonts w:ascii="Arial" w:eastAsiaTheme="minorHAnsi" w:hAnsi="Arial" w:cs="Arial"/>
      <w:sz w:val="22"/>
      <w:szCs w:val="22"/>
      <w:lang w:eastAsia="en-US"/>
    </w:rPr>
  </w:style>
  <w:style w:type="paragraph" w:customStyle="1" w:styleId="s2">
    <w:name w:val="s2"/>
    <w:basedOn w:val="Normal"/>
    <w:uiPriority w:val="99"/>
    <w:rsid w:val="0038259C"/>
    <w:pPr>
      <w:widowControl/>
      <w:spacing w:before="100" w:beforeAutospacing="1" w:after="100" w:afterAutospacing="1" w:line="240" w:lineRule="auto"/>
    </w:pPr>
    <w:rPr>
      <w:rFonts w:ascii="Calibri" w:eastAsiaTheme="minorHAnsi" w:hAnsi="Calibri"/>
      <w:szCs w:val="22"/>
    </w:rPr>
  </w:style>
  <w:style w:type="character" w:customStyle="1" w:styleId="s6">
    <w:name w:val="s6"/>
    <w:basedOn w:val="DefaultParagraphFont"/>
    <w:rsid w:val="0038259C"/>
  </w:style>
  <w:style w:type="character" w:customStyle="1" w:styleId="s7">
    <w:name w:val="s7"/>
    <w:basedOn w:val="DefaultParagraphFont"/>
    <w:rsid w:val="0038259C"/>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1"/>
    <w:uiPriority w:val="99"/>
    <w:locked/>
    <w:rsid w:val="00274EA7"/>
    <w:rPr>
      <w:rFonts w:ascii="Arial" w:hAnsi="Arial" w:cs="Arial"/>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274EA7"/>
    <w:pPr>
      <w:widowControl/>
      <w:shd w:val="clear" w:color="auto" w:fill="FFFFFF"/>
      <w:spacing w:line="246" w:lineRule="exact"/>
      <w:ind w:hanging="340"/>
      <w:jc w:val="right"/>
    </w:pPr>
    <w:rPr>
      <w:rFonts w:ascii="Arial" w:hAnsi="Arial" w:cs="Arial"/>
      <w:sz w:val="20"/>
      <w:lang w:eastAsia="en-GB"/>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5C259E"/>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829">
      <w:bodyDiv w:val="1"/>
      <w:marLeft w:val="0"/>
      <w:marRight w:val="0"/>
      <w:marTop w:val="0"/>
      <w:marBottom w:val="0"/>
      <w:divBdr>
        <w:top w:val="none" w:sz="0" w:space="0" w:color="auto"/>
        <w:left w:val="none" w:sz="0" w:space="0" w:color="auto"/>
        <w:bottom w:val="none" w:sz="0" w:space="0" w:color="auto"/>
        <w:right w:val="none" w:sz="0" w:space="0" w:color="auto"/>
      </w:divBdr>
    </w:div>
    <w:div w:id="18286317">
      <w:bodyDiv w:val="1"/>
      <w:marLeft w:val="0"/>
      <w:marRight w:val="0"/>
      <w:marTop w:val="0"/>
      <w:marBottom w:val="0"/>
      <w:divBdr>
        <w:top w:val="none" w:sz="0" w:space="0" w:color="auto"/>
        <w:left w:val="none" w:sz="0" w:space="0" w:color="auto"/>
        <w:bottom w:val="none" w:sz="0" w:space="0" w:color="auto"/>
        <w:right w:val="none" w:sz="0" w:space="0" w:color="auto"/>
      </w:divBdr>
    </w:div>
    <w:div w:id="33502716">
      <w:bodyDiv w:val="1"/>
      <w:marLeft w:val="0"/>
      <w:marRight w:val="0"/>
      <w:marTop w:val="0"/>
      <w:marBottom w:val="0"/>
      <w:divBdr>
        <w:top w:val="none" w:sz="0" w:space="0" w:color="auto"/>
        <w:left w:val="none" w:sz="0" w:space="0" w:color="auto"/>
        <w:bottom w:val="none" w:sz="0" w:space="0" w:color="auto"/>
        <w:right w:val="none" w:sz="0" w:space="0" w:color="auto"/>
      </w:divBdr>
    </w:div>
    <w:div w:id="33968025">
      <w:bodyDiv w:val="1"/>
      <w:marLeft w:val="0"/>
      <w:marRight w:val="0"/>
      <w:marTop w:val="0"/>
      <w:marBottom w:val="0"/>
      <w:divBdr>
        <w:top w:val="none" w:sz="0" w:space="0" w:color="auto"/>
        <w:left w:val="none" w:sz="0" w:space="0" w:color="auto"/>
        <w:bottom w:val="none" w:sz="0" w:space="0" w:color="auto"/>
        <w:right w:val="none" w:sz="0" w:space="0" w:color="auto"/>
      </w:divBdr>
    </w:div>
    <w:div w:id="56176143">
      <w:bodyDiv w:val="1"/>
      <w:marLeft w:val="0"/>
      <w:marRight w:val="0"/>
      <w:marTop w:val="0"/>
      <w:marBottom w:val="0"/>
      <w:divBdr>
        <w:top w:val="none" w:sz="0" w:space="0" w:color="auto"/>
        <w:left w:val="none" w:sz="0" w:space="0" w:color="auto"/>
        <w:bottom w:val="none" w:sz="0" w:space="0" w:color="auto"/>
        <w:right w:val="none" w:sz="0" w:space="0" w:color="auto"/>
      </w:divBdr>
    </w:div>
    <w:div w:id="76094092">
      <w:bodyDiv w:val="1"/>
      <w:marLeft w:val="0"/>
      <w:marRight w:val="0"/>
      <w:marTop w:val="0"/>
      <w:marBottom w:val="0"/>
      <w:divBdr>
        <w:top w:val="none" w:sz="0" w:space="0" w:color="auto"/>
        <w:left w:val="none" w:sz="0" w:space="0" w:color="auto"/>
        <w:bottom w:val="none" w:sz="0" w:space="0" w:color="auto"/>
        <w:right w:val="none" w:sz="0" w:space="0" w:color="auto"/>
      </w:divBdr>
    </w:div>
    <w:div w:id="79839348">
      <w:bodyDiv w:val="1"/>
      <w:marLeft w:val="0"/>
      <w:marRight w:val="0"/>
      <w:marTop w:val="0"/>
      <w:marBottom w:val="0"/>
      <w:divBdr>
        <w:top w:val="none" w:sz="0" w:space="0" w:color="auto"/>
        <w:left w:val="none" w:sz="0" w:space="0" w:color="auto"/>
        <w:bottom w:val="none" w:sz="0" w:space="0" w:color="auto"/>
        <w:right w:val="none" w:sz="0" w:space="0" w:color="auto"/>
      </w:divBdr>
    </w:div>
    <w:div w:id="82144397">
      <w:bodyDiv w:val="1"/>
      <w:marLeft w:val="0"/>
      <w:marRight w:val="0"/>
      <w:marTop w:val="0"/>
      <w:marBottom w:val="0"/>
      <w:divBdr>
        <w:top w:val="none" w:sz="0" w:space="0" w:color="auto"/>
        <w:left w:val="none" w:sz="0" w:space="0" w:color="auto"/>
        <w:bottom w:val="none" w:sz="0" w:space="0" w:color="auto"/>
        <w:right w:val="none" w:sz="0" w:space="0" w:color="auto"/>
      </w:divBdr>
    </w:div>
    <w:div w:id="91634102">
      <w:bodyDiv w:val="1"/>
      <w:marLeft w:val="0"/>
      <w:marRight w:val="0"/>
      <w:marTop w:val="0"/>
      <w:marBottom w:val="0"/>
      <w:divBdr>
        <w:top w:val="none" w:sz="0" w:space="0" w:color="auto"/>
        <w:left w:val="none" w:sz="0" w:space="0" w:color="auto"/>
        <w:bottom w:val="none" w:sz="0" w:space="0" w:color="auto"/>
        <w:right w:val="none" w:sz="0" w:space="0" w:color="auto"/>
      </w:divBdr>
    </w:div>
    <w:div w:id="102965397">
      <w:bodyDiv w:val="1"/>
      <w:marLeft w:val="0"/>
      <w:marRight w:val="0"/>
      <w:marTop w:val="0"/>
      <w:marBottom w:val="0"/>
      <w:divBdr>
        <w:top w:val="none" w:sz="0" w:space="0" w:color="auto"/>
        <w:left w:val="none" w:sz="0" w:space="0" w:color="auto"/>
        <w:bottom w:val="none" w:sz="0" w:space="0" w:color="auto"/>
        <w:right w:val="none" w:sz="0" w:space="0" w:color="auto"/>
      </w:divBdr>
    </w:div>
    <w:div w:id="108396715">
      <w:bodyDiv w:val="1"/>
      <w:marLeft w:val="0"/>
      <w:marRight w:val="0"/>
      <w:marTop w:val="0"/>
      <w:marBottom w:val="0"/>
      <w:divBdr>
        <w:top w:val="none" w:sz="0" w:space="0" w:color="auto"/>
        <w:left w:val="none" w:sz="0" w:space="0" w:color="auto"/>
        <w:bottom w:val="none" w:sz="0" w:space="0" w:color="auto"/>
        <w:right w:val="none" w:sz="0" w:space="0" w:color="auto"/>
      </w:divBdr>
      <w:divsChild>
        <w:div w:id="571088214">
          <w:marLeft w:val="0"/>
          <w:marRight w:val="0"/>
          <w:marTop w:val="0"/>
          <w:marBottom w:val="0"/>
          <w:divBdr>
            <w:top w:val="none" w:sz="0" w:space="0" w:color="auto"/>
            <w:left w:val="none" w:sz="0" w:space="0" w:color="auto"/>
            <w:bottom w:val="none" w:sz="0" w:space="0" w:color="auto"/>
            <w:right w:val="none" w:sz="0" w:space="0" w:color="auto"/>
          </w:divBdr>
        </w:div>
        <w:div w:id="1912159274">
          <w:marLeft w:val="0"/>
          <w:marRight w:val="0"/>
          <w:marTop w:val="0"/>
          <w:marBottom w:val="0"/>
          <w:divBdr>
            <w:top w:val="none" w:sz="0" w:space="0" w:color="auto"/>
            <w:left w:val="none" w:sz="0" w:space="0" w:color="auto"/>
            <w:bottom w:val="none" w:sz="0" w:space="0" w:color="auto"/>
            <w:right w:val="none" w:sz="0" w:space="0" w:color="auto"/>
          </w:divBdr>
        </w:div>
        <w:div w:id="716203742">
          <w:marLeft w:val="0"/>
          <w:marRight w:val="0"/>
          <w:marTop w:val="0"/>
          <w:marBottom w:val="0"/>
          <w:divBdr>
            <w:top w:val="none" w:sz="0" w:space="0" w:color="auto"/>
            <w:left w:val="none" w:sz="0" w:space="0" w:color="auto"/>
            <w:bottom w:val="none" w:sz="0" w:space="0" w:color="auto"/>
            <w:right w:val="none" w:sz="0" w:space="0" w:color="auto"/>
          </w:divBdr>
        </w:div>
      </w:divsChild>
    </w:div>
    <w:div w:id="112482708">
      <w:bodyDiv w:val="1"/>
      <w:marLeft w:val="0"/>
      <w:marRight w:val="0"/>
      <w:marTop w:val="0"/>
      <w:marBottom w:val="0"/>
      <w:divBdr>
        <w:top w:val="none" w:sz="0" w:space="0" w:color="auto"/>
        <w:left w:val="none" w:sz="0" w:space="0" w:color="auto"/>
        <w:bottom w:val="none" w:sz="0" w:space="0" w:color="auto"/>
        <w:right w:val="none" w:sz="0" w:space="0" w:color="auto"/>
      </w:divBdr>
    </w:div>
    <w:div w:id="114836507">
      <w:bodyDiv w:val="1"/>
      <w:marLeft w:val="0"/>
      <w:marRight w:val="0"/>
      <w:marTop w:val="0"/>
      <w:marBottom w:val="0"/>
      <w:divBdr>
        <w:top w:val="none" w:sz="0" w:space="0" w:color="auto"/>
        <w:left w:val="none" w:sz="0" w:space="0" w:color="auto"/>
        <w:bottom w:val="none" w:sz="0" w:space="0" w:color="auto"/>
        <w:right w:val="none" w:sz="0" w:space="0" w:color="auto"/>
      </w:divBdr>
      <w:divsChild>
        <w:div w:id="1595161221">
          <w:marLeft w:val="0"/>
          <w:marRight w:val="0"/>
          <w:marTop w:val="0"/>
          <w:marBottom w:val="0"/>
          <w:divBdr>
            <w:top w:val="none" w:sz="0" w:space="0" w:color="auto"/>
            <w:left w:val="none" w:sz="0" w:space="0" w:color="auto"/>
            <w:bottom w:val="none" w:sz="0" w:space="0" w:color="auto"/>
            <w:right w:val="none" w:sz="0" w:space="0" w:color="auto"/>
          </w:divBdr>
          <w:divsChild>
            <w:div w:id="1170291118">
              <w:marLeft w:val="0"/>
              <w:marRight w:val="0"/>
              <w:marTop w:val="0"/>
              <w:marBottom w:val="0"/>
              <w:divBdr>
                <w:top w:val="none" w:sz="0" w:space="0" w:color="auto"/>
                <w:left w:val="none" w:sz="0" w:space="0" w:color="auto"/>
                <w:bottom w:val="none" w:sz="0" w:space="0" w:color="auto"/>
                <w:right w:val="none" w:sz="0" w:space="0" w:color="auto"/>
              </w:divBdr>
              <w:divsChild>
                <w:div w:id="1343505214">
                  <w:marLeft w:val="0"/>
                  <w:marRight w:val="0"/>
                  <w:marTop w:val="0"/>
                  <w:marBottom w:val="0"/>
                  <w:divBdr>
                    <w:top w:val="none" w:sz="0" w:space="0" w:color="auto"/>
                    <w:left w:val="none" w:sz="0" w:space="0" w:color="auto"/>
                    <w:bottom w:val="none" w:sz="0" w:space="0" w:color="auto"/>
                    <w:right w:val="none" w:sz="0" w:space="0" w:color="auto"/>
                  </w:divBdr>
                  <w:divsChild>
                    <w:div w:id="1217619263">
                      <w:marLeft w:val="0"/>
                      <w:marRight w:val="0"/>
                      <w:marTop w:val="0"/>
                      <w:marBottom w:val="0"/>
                      <w:divBdr>
                        <w:top w:val="none" w:sz="0" w:space="0" w:color="auto"/>
                        <w:left w:val="none" w:sz="0" w:space="0" w:color="auto"/>
                        <w:bottom w:val="none" w:sz="0" w:space="0" w:color="auto"/>
                        <w:right w:val="none" w:sz="0" w:space="0" w:color="auto"/>
                      </w:divBdr>
                      <w:divsChild>
                        <w:div w:id="1785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25896">
      <w:bodyDiv w:val="1"/>
      <w:marLeft w:val="0"/>
      <w:marRight w:val="0"/>
      <w:marTop w:val="0"/>
      <w:marBottom w:val="0"/>
      <w:divBdr>
        <w:top w:val="none" w:sz="0" w:space="0" w:color="auto"/>
        <w:left w:val="none" w:sz="0" w:space="0" w:color="auto"/>
        <w:bottom w:val="none" w:sz="0" w:space="0" w:color="auto"/>
        <w:right w:val="none" w:sz="0" w:space="0" w:color="auto"/>
      </w:divBdr>
    </w:div>
    <w:div w:id="150021115">
      <w:bodyDiv w:val="1"/>
      <w:marLeft w:val="0"/>
      <w:marRight w:val="0"/>
      <w:marTop w:val="0"/>
      <w:marBottom w:val="0"/>
      <w:divBdr>
        <w:top w:val="none" w:sz="0" w:space="0" w:color="auto"/>
        <w:left w:val="none" w:sz="0" w:space="0" w:color="auto"/>
        <w:bottom w:val="none" w:sz="0" w:space="0" w:color="auto"/>
        <w:right w:val="none" w:sz="0" w:space="0" w:color="auto"/>
      </w:divBdr>
    </w:div>
    <w:div w:id="236283509">
      <w:bodyDiv w:val="1"/>
      <w:marLeft w:val="0"/>
      <w:marRight w:val="0"/>
      <w:marTop w:val="0"/>
      <w:marBottom w:val="0"/>
      <w:divBdr>
        <w:top w:val="none" w:sz="0" w:space="0" w:color="auto"/>
        <w:left w:val="none" w:sz="0" w:space="0" w:color="auto"/>
        <w:bottom w:val="none" w:sz="0" w:space="0" w:color="auto"/>
        <w:right w:val="none" w:sz="0" w:space="0" w:color="auto"/>
      </w:divBdr>
    </w:div>
    <w:div w:id="309484463">
      <w:bodyDiv w:val="1"/>
      <w:marLeft w:val="0"/>
      <w:marRight w:val="0"/>
      <w:marTop w:val="0"/>
      <w:marBottom w:val="0"/>
      <w:divBdr>
        <w:top w:val="none" w:sz="0" w:space="0" w:color="auto"/>
        <w:left w:val="none" w:sz="0" w:space="0" w:color="auto"/>
        <w:bottom w:val="none" w:sz="0" w:space="0" w:color="auto"/>
        <w:right w:val="none" w:sz="0" w:space="0" w:color="auto"/>
      </w:divBdr>
    </w:div>
    <w:div w:id="317657313">
      <w:bodyDiv w:val="1"/>
      <w:marLeft w:val="0"/>
      <w:marRight w:val="0"/>
      <w:marTop w:val="0"/>
      <w:marBottom w:val="0"/>
      <w:divBdr>
        <w:top w:val="none" w:sz="0" w:space="0" w:color="auto"/>
        <w:left w:val="none" w:sz="0" w:space="0" w:color="auto"/>
        <w:bottom w:val="none" w:sz="0" w:space="0" w:color="auto"/>
        <w:right w:val="none" w:sz="0" w:space="0" w:color="auto"/>
      </w:divBdr>
    </w:div>
    <w:div w:id="328949795">
      <w:bodyDiv w:val="1"/>
      <w:marLeft w:val="0"/>
      <w:marRight w:val="0"/>
      <w:marTop w:val="0"/>
      <w:marBottom w:val="0"/>
      <w:divBdr>
        <w:top w:val="none" w:sz="0" w:space="0" w:color="auto"/>
        <w:left w:val="none" w:sz="0" w:space="0" w:color="auto"/>
        <w:bottom w:val="none" w:sz="0" w:space="0" w:color="auto"/>
        <w:right w:val="none" w:sz="0" w:space="0" w:color="auto"/>
      </w:divBdr>
    </w:div>
    <w:div w:id="350104392">
      <w:bodyDiv w:val="1"/>
      <w:marLeft w:val="0"/>
      <w:marRight w:val="0"/>
      <w:marTop w:val="0"/>
      <w:marBottom w:val="0"/>
      <w:divBdr>
        <w:top w:val="none" w:sz="0" w:space="0" w:color="auto"/>
        <w:left w:val="none" w:sz="0" w:space="0" w:color="auto"/>
        <w:bottom w:val="none" w:sz="0" w:space="0" w:color="auto"/>
        <w:right w:val="none" w:sz="0" w:space="0" w:color="auto"/>
      </w:divBdr>
    </w:div>
    <w:div w:id="356736830">
      <w:bodyDiv w:val="1"/>
      <w:marLeft w:val="0"/>
      <w:marRight w:val="0"/>
      <w:marTop w:val="0"/>
      <w:marBottom w:val="0"/>
      <w:divBdr>
        <w:top w:val="none" w:sz="0" w:space="0" w:color="auto"/>
        <w:left w:val="none" w:sz="0" w:space="0" w:color="auto"/>
        <w:bottom w:val="none" w:sz="0" w:space="0" w:color="auto"/>
        <w:right w:val="none" w:sz="0" w:space="0" w:color="auto"/>
      </w:divBdr>
    </w:div>
    <w:div w:id="365330171">
      <w:bodyDiv w:val="1"/>
      <w:marLeft w:val="0"/>
      <w:marRight w:val="0"/>
      <w:marTop w:val="0"/>
      <w:marBottom w:val="0"/>
      <w:divBdr>
        <w:top w:val="none" w:sz="0" w:space="0" w:color="auto"/>
        <w:left w:val="none" w:sz="0" w:space="0" w:color="auto"/>
        <w:bottom w:val="none" w:sz="0" w:space="0" w:color="auto"/>
        <w:right w:val="none" w:sz="0" w:space="0" w:color="auto"/>
      </w:divBdr>
    </w:div>
    <w:div w:id="368920407">
      <w:bodyDiv w:val="1"/>
      <w:marLeft w:val="0"/>
      <w:marRight w:val="0"/>
      <w:marTop w:val="0"/>
      <w:marBottom w:val="0"/>
      <w:divBdr>
        <w:top w:val="none" w:sz="0" w:space="0" w:color="auto"/>
        <w:left w:val="none" w:sz="0" w:space="0" w:color="auto"/>
        <w:bottom w:val="none" w:sz="0" w:space="0" w:color="auto"/>
        <w:right w:val="none" w:sz="0" w:space="0" w:color="auto"/>
      </w:divBdr>
      <w:divsChild>
        <w:div w:id="838345811">
          <w:marLeft w:val="0"/>
          <w:marRight w:val="0"/>
          <w:marTop w:val="0"/>
          <w:marBottom w:val="0"/>
          <w:divBdr>
            <w:top w:val="none" w:sz="0" w:space="0" w:color="auto"/>
            <w:left w:val="none" w:sz="0" w:space="0" w:color="auto"/>
            <w:bottom w:val="none" w:sz="0" w:space="0" w:color="auto"/>
            <w:right w:val="none" w:sz="0" w:space="0" w:color="auto"/>
          </w:divBdr>
          <w:divsChild>
            <w:div w:id="435948005">
              <w:marLeft w:val="0"/>
              <w:marRight w:val="0"/>
              <w:marTop w:val="0"/>
              <w:marBottom w:val="0"/>
              <w:divBdr>
                <w:top w:val="none" w:sz="0" w:space="0" w:color="auto"/>
                <w:left w:val="none" w:sz="0" w:space="0" w:color="auto"/>
                <w:bottom w:val="none" w:sz="0" w:space="0" w:color="auto"/>
                <w:right w:val="none" w:sz="0" w:space="0" w:color="auto"/>
              </w:divBdr>
            </w:div>
            <w:div w:id="486868116">
              <w:marLeft w:val="0"/>
              <w:marRight w:val="0"/>
              <w:marTop w:val="0"/>
              <w:marBottom w:val="0"/>
              <w:divBdr>
                <w:top w:val="none" w:sz="0" w:space="0" w:color="auto"/>
                <w:left w:val="none" w:sz="0" w:space="0" w:color="auto"/>
                <w:bottom w:val="none" w:sz="0" w:space="0" w:color="auto"/>
                <w:right w:val="none" w:sz="0" w:space="0" w:color="auto"/>
              </w:divBdr>
            </w:div>
            <w:div w:id="652758027">
              <w:marLeft w:val="0"/>
              <w:marRight w:val="0"/>
              <w:marTop w:val="0"/>
              <w:marBottom w:val="0"/>
              <w:divBdr>
                <w:top w:val="none" w:sz="0" w:space="0" w:color="auto"/>
                <w:left w:val="none" w:sz="0" w:space="0" w:color="auto"/>
                <w:bottom w:val="none" w:sz="0" w:space="0" w:color="auto"/>
                <w:right w:val="none" w:sz="0" w:space="0" w:color="auto"/>
              </w:divBdr>
            </w:div>
            <w:div w:id="915627654">
              <w:marLeft w:val="0"/>
              <w:marRight w:val="0"/>
              <w:marTop w:val="0"/>
              <w:marBottom w:val="0"/>
              <w:divBdr>
                <w:top w:val="none" w:sz="0" w:space="0" w:color="auto"/>
                <w:left w:val="none" w:sz="0" w:space="0" w:color="auto"/>
                <w:bottom w:val="none" w:sz="0" w:space="0" w:color="auto"/>
                <w:right w:val="none" w:sz="0" w:space="0" w:color="auto"/>
              </w:divBdr>
            </w:div>
            <w:div w:id="1202783493">
              <w:marLeft w:val="0"/>
              <w:marRight w:val="0"/>
              <w:marTop w:val="0"/>
              <w:marBottom w:val="0"/>
              <w:divBdr>
                <w:top w:val="none" w:sz="0" w:space="0" w:color="auto"/>
                <w:left w:val="none" w:sz="0" w:space="0" w:color="auto"/>
                <w:bottom w:val="none" w:sz="0" w:space="0" w:color="auto"/>
                <w:right w:val="none" w:sz="0" w:space="0" w:color="auto"/>
              </w:divBdr>
            </w:div>
            <w:div w:id="1374232740">
              <w:marLeft w:val="0"/>
              <w:marRight w:val="0"/>
              <w:marTop w:val="0"/>
              <w:marBottom w:val="0"/>
              <w:divBdr>
                <w:top w:val="none" w:sz="0" w:space="0" w:color="auto"/>
                <w:left w:val="none" w:sz="0" w:space="0" w:color="auto"/>
                <w:bottom w:val="none" w:sz="0" w:space="0" w:color="auto"/>
                <w:right w:val="none" w:sz="0" w:space="0" w:color="auto"/>
              </w:divBdr>
            </w:div>
            <w:div w:id="15579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3123">
      <w:bodyDiv w:val="1"/>
      <w:marLeft w:val="0"/>
      <w:marRight w:val="0"/>
      <w:marTop w:val="0"/>
      <w:marBottom w:val="0"/>
      <w:divBdr>
        <w:top w:val="none" w:sz="0" w:space="0" w:color="auto"/>
        <w:left w:val="none" w:sz="0" w:space="0" w:color="auto"/>
        <w:bottom w:val="none" w:sz="0" w:space="0" w:color="auto"/>
        <w:right w:val="none" w:sz="0" w:space="0" w:color="auto"/>
      </w:divBdr>
    </w:div>
    <w:div w:id="397288642">
      <w:bodyDiv w:val="1"/>
      <w:marLeft w:val="0"/>
      <w:marRight w:val="0"/>
      <w:marTop w:val="0"/>
      <w:marBottom w:val="0"/>
      <w:divBdr>
        <w:top w:val="none" w:sz="0" w:space="0" w:color="auto"/>
        <w:left w:val="none" w:sz="0" w:space="0" w:color="auto"/>
        <w:bottom w:val="none" w:sz="0" w:space="0" w:color="auto"/>
        <w:right w:val="none" w:sz="0" w:space="0" w:color="auto"/>
      </w:divBdr>
    </w:div>
    <w:div w:id="400296961">
      <w:bodyDiv w:val="1"/>
      <w:marLeft w:val="0"/>
      <w:marRight w:val="0"/>
      <w:marTop w:val="0"/>
      <w:marBottom w:val="0"/>
      <w:divBdr>
        <w:top w:val="none" w:sz="0" w:space="0" w:color="auto"/>
        <w:left w:val="none" w:sz="0" w:space="0" w:color="auto"/>
        <w:bottom w:val="none" w:sz="0" w:space="0" w:color="auto"/>
        <w:right w:val="none" w:sz="0" w:space="0" w:color="auto"/>
      </w:divBdr>
    </w:div>
    <w:div w:id="414087548">
      <w:bodyDiv w:val="1"/>
      <w:marLeft w:val="0"/>
      <w:marRight w:val="0"/>
      <w:marTop w:val="0"/>
      <w:marBottom w:val="0"/>
      <w:divBdr>
        <w:top w:val="none" w:sz="0" w:space="0" w:color="auto"/>
        <w:left w:val="none" w:sz="0" w:space="0" w:color="auto"/>
        <w:bottom w:val="none" w:sz="0" w:space="0" w:color="auto"/>
        <w:right w:val="none" w:sz="0" w:space="0" w:color="auto"/>
      </w:divBdr>
    </w:div>
    <w:div w:id="422603654">
      <w:bodyDiv w:val="1"/>
      <w:marLeft w:val="0"/>
      <w:marRight w:val="0"/>
      <w:marTop w:val="0"/>
      <w:marBottom w:val="0"/>
      <w:divBdr>
        <w:top w:val="none" w:sz="0" w:space="0" w:color="auto"/>
        <w:left w:val="none" w:sz="0" w:space="0" w:color="auto"/>
        <w:bottom w:val="none" w:sz="0" w:space="0" w:color="auto"/>
        <w:right w:val="none" w:sz="0" w:space="0" w:color="auto"/>
      </w:divBdr>
    </w:div>
    <w:div w:id="438641123">
      <w:bodyDiv w:val="1"/>
      <w:marLeft w:val="0"/>
      <w:marRight w:val="0"/>
      <w:marTop w:val="0"/>
      <w:marBottom w:val="0"/>
      <w:divBdr>
        <w:top w:val="none" w:sz="0" w:space="0" w:color="auto"/>
        <w:left w:val="none" w:sz="0" w:space="0" w:color="auto"/>
        <w:bottom w:val="none" w:sz="0" w:space="0" w:color="auto"/>
        <w:right w:val="none" w:sz="0" w:space="0" w:color="auto"/>
      </w:divBdr>
    </w:div>
    <w:div w:id="452140121">
      <w:bodyDiv w:val="1"/>
      <w:marLeft w:val="0"/>
      <w:marRight w:val="0"/>
      <w:marTop w:val="0"/>
      <w:marBottom w:val="0"/>
      <w:divBdr>
        <w:top w:val="none" w:sz="0" w:space="0" w:color="auto"/>
        <w:left w:val="none" w:sz="0" w:space="0" w:color="auto"/>
        <w:bottom w:val="none" w:sz="0" w:space="0" w:color="auto"/>
        <w:right w:val="none" w:sz="0" w:space="0" w:color="auto"/>
      </w:divBdr>
    </w:div>
    <w:div w:id="455760421">
      <w:bodyDiv w:val="1"/>
      <w:marLeft w:val="0"/>
      <w:marRight w:val="0"/>
      <w:marTop w:val="0"/>
      <w:marBottom w:val="0"/>
      <w:divBdr>
        <w:top w:val="none" w:sz="0" w:space="0" w:color="auto"/>
        <w:left w:val="none" w:sz="0" w:space="0" w:color="auto"/>
        <w:bottom w:val="none" w:sz="0" w:space="0" w:color="auto"/>
        <w:right w:val="none" w:sz="0" w:space="0" w:color="auto"/>
      </w:divBdr>
    </w:div>
    <w:div w:id="460850495">
      <w:bodyDiv w:val="1"/>
      <w:marLeft w:val="0"/>
      <w:marRight w:val="0"/>
      <w:marTop w:val="0"/>
      <w:marBottom w:val="0"/>
      <w:divBdr>
        <w:top w:val="none" w:sz="0" w:space="0" w:color="auto"/>
        <w:left w:val="none" w:sz="0" w:space="0" w:color="auto"/>
        <w:bottom w:val="none" w:sz="0" w:space="0" w:color="auto"/>
        <w:right w:val="none" w:sz="0" w:space="0" w:color="auto"/>
      </w:divBdr>
    </w:div>
    <w:div w:id="461313443">
      <w:bodyDiv w:val="1"/>
      <w:marLeft w:val="0"/>
      <w:marRight w:val="0"/>
      <w:marTop w:val="0"/>
      <w:marBottom w:val="0"/>
      <w:divBdr>
        <w:top w:val="none" w:sz="0" w:space="0" w:color="auto"/>
        <w:left w:val="none" w:sz="0" w:space="0" w:color="auto"/>
        <w:bottom w:val="none" w:sz="0" w:space="0" w:color="auto"/>
        <w:right w:val="none" w:sz="0" w:space="0" w:color="auto"/>
      </w:divBdr>
    </w:div>
    <w:div w:id="469057957">
      <w:bodyDiv w:val="1"/>
      <w:marLeft w:val="0"/>
      <w:marRight w:val="0"/>
      <w:marTop w:val="0"/>
      <w:marBottom w:val="0"/>
      <w:divBdr>
        <w:top w:val="none" w:sz="0" w:space="0" w:color="auto"/>
        <w:left w:val="none" w:sz="0" w:space="0" w:color="auto"/>
        <w:bottom w:val="none" w:sz="0" w:space="0" w:color="auto"/>
        <w:right w:val="none" w:sz="0" w:space="0" w:color="auto"/>
      </w:divBdr>
    </w:div>
    <w:div w:id="475538422">
      <w:bodyDiv w:val="1"/>
      <w:marLeft w:val="0"/>
      <w:marRight w:val="0"/>
      <w:marTop w:val="0"/>
      <w:marBottom w:val="0"/>
      <w:divBdr>
        <w:top w:val="none" w:sz="0" w:space="0" w:color="auto"/>
        <w:left w:val="none" w:sz="0" w:space="0" w:color="auto"/>
        <w:bottom w:val="none" w:sz="0" w:space="0" w:color="auto"/>
        <w:right w:val="none" w:sz="0" w:space="0" w:color="auto"/>
      </w:divBdr>
    </w:div>
    <w:div w:id="475681825">
      <w:bodyDiv w:val="1"/>
      <w:marLeft w:val="0"/>
      <w:marRight w:val="0"/>
      <w:marTop w:val="0"/>
      <w:marBottom w:val="0"/>
      <w:divBdr>
        <w:top w:val="none" w:sz="0" w:space="0" w:color="auto"/>
        <w:left w:val="none" w:sz="0" w:space="0" w:color="auto"/>
        <w:bottom w:val="none" w:sz="0" w:space="0" w:color="auto"/>
        <w:right w:val="none" w:sz="0" w:space="0" w:color="auto"/>
      </w:divBdr>
    </w:div>
    <w:div w:id="494958386">
      <w:bodyDiv w:val="1"/>
      <w:marLeft w:val="0"/>
      <w:marRight w:val="0"/>
      <w:marTop w:val="0"/>
      <w:marBottom w:val="0"/>
      <w:divBdr>
        <w:top w:val="none" w:sz="0" w:space="0" w:color="auto"/>
        <w:left w:val="none" w:sz="0" w:space="0" w:color="auto"/>
        <w:bottom w:val="none" w:sz="0" w:space="0" w:color="auto"/>
        <w:right w:val="none" w:sz="0" w:space="0" w:color="auto"/>
      </w:divBdr>
    </w:div>
    <w:div w:id="498155908">
      <w:bodyDiv w:val="1"/>
      <w:marLeft w:val="0"/>
      <w:marRight w:val="0"/>
      <w:marTop w:val="0"/>
      <w:marBottom w:val="0"/>
      <w:divBdr>
        <w:top w:val="none" w:sz="0" w:space="0" w:color="auto"/>
        <w:left w:val="none" w:sz="0" w:space="0" w:color="auto"/>
        <w:bottom w:val="none" w:sz="0" w:space="0" w:color="auto"/>
        <w:right w:val="none" w:sz="0" w:space="0" w:color="auto"/>
      </w:divBdr>
      <w:divsChild>
        <w:div w:id="2103722213">
          <w:marLeft w:val="0"/>
          <w:marRight w:val="0"/>
          <w:marTop w:val="0"/>
          <w:marBottom w:val="0"/>
          <w:divBdr>
            <w:top w:val="none" w:sz="0" w:space="0" w:color="auto"/>
            <w:left w:val="none" w:sz="0" w:space="0" w:color="auto"/>
            <w:bottom w:val="none" w:sz="0" w:space="0" w:color="auto"/>
            <w:right w:val="none" w:sz="0" w:space="0" w:color="auto"/>
          </w:divBdr>
        </w:div>
      </w:divsChild>
    </w:div>
    <w:div w:id="623580028">
      <w:bodyDiv w:val="1"/>
      <w:marLeft w:val="0"/>
      <w:marRight w:val="0"/>
      <w:marTop w:val="0"/>
      <w:marBottom w:val="0"/>
      <w:divBdr>
        <w:top w:val="none" w:sz="0" w:space="0" w:color="auto"/>
        <w:left w:val="none" w:sz="0" w:space="0" w:color="auto"/>
        <w:bottom w:val="none" w:sz="0" w:space="0" w:color="auto"/>
        <w:right w:val="none" w:sz="0" w:space="0" w:color="auto"/>
      </w:divBdr>
    </w:div>
    <w:div w:id="623931053">
      <w:bodyDiv w:val="1"/>
      <w:marLeft w:val="0"/>
      <w:marRight w:val="0"/>
      <w:marTop w:val="0"/>
      <w:marBottom w:val="0"/>
      <w:divBdr>
        <w:top w:val="none" w:sz="0" w:space="0" w:color="auto"/>
        <w:left w:val="none" w:sz="0" w:space="0" w:color="auto"/>
        <w:bottom w:val="none" w:sz="0" w:space="0" w:color="auto"/>
        <w:right w:val="none" w:sz="0" w:space="0" w:color="auto"/>
      </w:divBdr>
    </w:div>
    <w:div w:id="625039448">
      <w:bodyDiv w:val="1"/>
      <w:marLeft w:val="0"/>
      <w:marRight w:val="0"/>
      <w:marTop w:val="0"/>
      <w:marBottom w:val="0"/>
      <w:divBdr>
        <w:top w:val="none" w:sz="0" w:space="0" w:color="auto"/>
        <w:left w:val="none" w:sz="0" w:space="0" w:color="auto"/>
        <w:bottom w:val="none" w:sz="0" w:space="0" w:color="auto"/>
        <w:right w:val="none" w:sz="0" w:space="0" w:color="auto"/>
      </w:divBdr>
    </w:div>
    <w:div w:id="650519453">
      <w:bodyDiv w:val="1"/>
      <w:marLeft w:val="0"/>
      <w:marRight w:val="0"/>
      <w:marTop w:val="0"/>
      <w:marBottom w:val="0"/>
      <w:divBdr>
        <w:top w:val="none" w:sz="0" w:space="0" w:color="auto"/>
        <w:left w:val="none" w:sz="0" w:space="0" w:color="auto"/>
        <w:bottom w:val="none" w:sz="0" w:space="0" w:color="auto"/>
        <w:right w:val="none" w:sz="0" w:space="0" w:color="auto"/>
      </w:divBdr>
    </w:div>
    <w:div w:id="655454337">
      <w:bodyDiv w:val="1"/>
      <w:marLeft w:val="0"/>
      <w:marRight w:val="0"/>
      <w:marTop w:val="0"/>
      <w:marBottom w:val="0"/>
      <w:divBdr>
        <w:top w:val="none" w:sz="0" w:space="0" w:color="auto"/>
        <w:left w:val="none" w:sz="0" w:space="0" w:color="auto"/>
        <w:bottom w:val="none" w:sz="0" w:space="0" w:color="auto"/>
        <w:right w:val="none" w:sz="0" w:space="0" w:color="auto"/>
      </w:divBdr>
    </w:div>
    <w:div w:id="659696462">
      <w:bodyDiv w:val="1"/>
      <w:marLeft w:val="0"/>
      <w:marRight w:val="0"/>
      <w:marTop w:val="0"/>
      <w:marBottom w:val="0"/>
      <w:divBdr>
        <w:top w:val="none" w:sz="0" w:space="0" w:color="auto"/>
        <w:left w:val="none" w:sz="0" w:space="0" w:color="auto"/>
        <w:bottom w:val="none" w:sz="0" w:space="0" w:color="auto"/>
        <w:right w:val="none" w:sz="0" w:space="0" w:color="auto"/>
      </w:divBdr>
    </w:div>
    <w:div w:id="690186576">
      <w:bodyDiv w:val="1"/>
      <w:marLeft w:val="0"/>
      <w:marRight w:val="0"/>
      <w:marTop w:val="0"/>
      <w:marBottom w:val="0"/>
      <w:divBdr>
        <w:top w:val="none" w:sz="0" w:space="0" w:color="auto"/>
        <w:left w:val="none" w:sz="0" w:space="0" w:color="auto"/>
        <w:bottom w:val="none" w:sz="0" w:space="0" w:color="auto"/>
        <w:right w:val="none" w:sz="0" w:space="0" w:color="auto"/>
      </w:divBdr>
    </w:div>
    <w:div w:id="698623631">
      <w:bodyDiv w:val="1"/>
      <w:marLeft w:val="0"/>
      <w:marRight w:val="0"/>
      <w:marTop w:val="0"/>
      <w:marBottom w:val="0"/>
      <w:divBdr>
        <w:top w:val="none" w:sz="0" w:space="0" w:color="auto"/>
        <w:left w:val="none" w:sz="0" w:space="0" w:color="auto"/>
        <w:bottom w:val="none" w:sz="0" w:space="0" w:color="auto"/>
        <w:right w:val="none" w:sz="0" w:space="0" w:color="auto"/>
      </w:divBdr>
    </w:div>
    <w:div w:id="700856533">
      <w:bodyDiv w:val="1"/>
      <w:marLeft w:val="0"/>
      <w:marRight w:val="0"/>
      <w:marTop w:val="0"/>
      <w:marBottom w:val="0"/>
      <w:divBdr>
        <w:top w:val="none" w:sz="0" w:space="0" w:color="auto"/>
        <w:left w:val="none" w:sz="0" w:space="0" w:color="auto"/>
        <w:bottom w:val="none" w:sz="0" w:space="0" w:color="auto"/>
        <w:right w:val="none" w:sz="0" w:space="0" w:color="auto"/>
      </w:divBdr>
      <w:divsChild>
        <w:div w:id="1542206679">
          <w:marLeft w:val="0"/>
          <w:marRight w:val="0"/>
          <w:marTop w:val="0"/>
          <w:marBottom w:val="0"/>
          <w:divBdr>
            <w:top w:val="none" w:sz="0" w:space="0" w:color="auto"/>
            <w:left w:val="none" w:sz="0" w:space="0" w:color="auto"/>
            <w:bottom w:val="none" w:sz="0" w:space="0" w:color="auto"/>
            <w:right w:val="none" w:sz="0" w:space="0" w:color="auto"/>
          </w:divBdr>
          <w:divsChild>
            <w:div w:id="1563709495">
              <w:marLeft w:val="0"/>
              <w:marRight w:val="0"/>
              <w:marTop w:val="0"/>
              <w:marBottom w:val="0"/>
              <w:divBdr>
                <w:top w:val="none" w:sz="0" w:space="0" w:color="auto"/>
                <w:left w:val="none" w:sz="0" w:space="0" w:color="auto"/>
                <w:bottom w:val="none" w:sz="0" w:space="0" w:color="auto"/>
                <w:right w:val="none" w:sz="0" w:space="0" w:color="auto"/>
              </w:divBdr>
              <w:divsChild>
                <w:div w:id="1006858811">
                  <w:marLeft w:val="0"/>
                  <w:marRight w:val="0"/>
                  <w:marTop w:val="0"/>
                  <w:marBottom w:val="0"/>
                  <w:divBdr>
                    <w:top w:val="none" w:sz="0" w:space="0" w:color="auto"/>
                    <w:left w:val="none" w:sz="0" w:space="0" w:color="auto"/>
                    <w:bottom w:val="none" w:sz="0" w:space="0" w:color="auto"/>
                    <w:right w:val="none" w:sz="0" w:space="0" w:color="auto"/>
                  </w:divBdr>
                  <w:divsChild>
                    <w:div w:id="585848810">
                      <w:marLeft w:val="0"/>
                      <w:marRight w:val="0"/>
                      <w:marTop w:val="0"/>
                      <w:marBottom w:val="0"/>
                      <w:divBdr>
                        <w:top w:val="none" w:sz="0" w:space="0" w:color="auto"/>
                        <w:left w:val="none" w:sz="0" w:space="0" w:color="auto"/>
                        <w:bottom w:val="none" w:sz="0" w:space="0" w:color="auto"/>
                        <w:right w:val="none" w:sz="0" w:space="0" w:color="auto"/>
                      </w:divBdr>
                      <w:divsChild>
                        <w:div w:id="13649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844988">
      <w:bodyDiv w:val="1"/>
      <w:marLeft w:val="0"/>
      <w:marRight w:val="0"/>
      <w:marTop w:val="0"/>
      <w:marBottom w:val="0"/>
      <w:divBdr>
        <w:top w:val="none" w:sz="0" w:space="0" w:color="auto"/>
        <w:left w:val="none" w:sz="0" w:space="0" w:color="auto"/>
        <w:bottom w:val="none" w:sz="0" w:space="0" w:color="auto"/>
        <w:right w:val="none" w:sz="0" w:space="0" w:color="auto"/>
      </w:divBdr>
    </w:div>
    <w:div w:id="717633265">
      <w:bodyDiv w:val="1"/>
      <w:marLeft w:val="0"/>
      <w:marRight w:val="0"/>
      <w:marTop w:val="0"/>
      <w:marBottom w:val="0"/>
      <w:divBdr>
        <w:top w:val="none" w:sz="0" w:space="0" w:color="auto"/>
        <w:left w:val="none" w:sz="0" w:space="0" w:color="auto"/>
        <w:bottom w:val="none" w:sz="0" w:space="0" w:color="auto"/>
        <w:right w:val="none" w:sz="0" w:space="0" w:color="auto"/>
      </w:divBdr>
    </w:div>
    <w:div w:id="735665713">
      <w:bodyDiv w:val="1"/>
      <w:marLeft w:val="0"/>
      <w:marRight w:val="0"/>
      <w:marTop w:val="0"/>
      <w:marBottom w:val="0"/>
      <w:divBdr>
        <w:top w:val="none" w:sz="0" w:space="0" w:color="auto"/>
        <w:left w:val="none" w:sz="0" w:space="0" w:color="auto"/>
        <w:bottom w:val="none" w:sz="0" w:space="0" w:color="auto"/>
        <w:right w:val="none" w:sz="0" w:space="0" w:color="auto"/>
      </w:divBdr>
    </w:div>
    <w:div w:id="735933089">
      <w:bodyDiv w:val="1"/>
      <w:marLeft w:val="0"/>
      <w:marRight w:val="0"/>
      <w:marTop w:val="0"/>
      <w:marBottom w:val="0"/>
      <w:divBdr>
        <w:top w:val="none" w:sz="0" w:space="0" w:color="auto"/>
        <w:left w:val="none" w:sz="0" w:space="0" w:color="auto"/>
        <w:bottom w:val="none" w:sz="0" w:space="0" w:color="auto"/>
        <w:right w:val="none" w:sz="0" w:space="0" w:color="auto"/>
      </w:divBdr>
    </w:div>
    <w:div w:id="739719705">
      <w:bodyDiv w:val="1"/>
      <w:marLeft w:val="0"/>
      <w:marRight w:val="0"/>
      <w:marTop w:val="0"/>
      <w:marBottom w:val="0"/>
      <w:divBdr>
        <w:top w:val="none" w:sz="0" w:space="0" w:color="auto"/>
        <w:left w:val="none" w:sz="0" w:space="0" w:color="auto"/>
        <w:bottom w:val="none" w:sz="0" w:space="0" w:color="auto"/>
        <w:right w:val="none" w:sz="0" w:space="0" w:color="auto"/>
      </w:divBdr>
      <w:divsChild>
        <w:div w:id="1248730846">
          <w:marLeft w:val="0"/>
          <w:marRight w:val="0"/>
          <w:marTop w:val="0"/>
          <w:marBottom w:val="0"/>
          <w:divBdr>
            <w:top w:val="none" w:sz="0" w:space="0" w:color="auto"/>
            <w:left w:val="none" w:sz="0" w:space="0" w:color="auto"/>
            <w:bottom w:val="none" w:sz="0" w:space="0" w:color="auto"/>
            <w:right w:val="none" w:sz="0" w:space="0" w:color="auto"/>
          </w:divBdr>
          <w:divsChild>
            <w:div w:id="419374351">
              <w:marLeft w:val="4021"/>
              <w:marRight w:val="0"/>
              <w:marTop w:val="0"/>
              <w:marBottom w:val="150"/>
              <w:divBdr>
                <w:top w:val="none" w:sz="0" w:space="0" w:color="auto"/>
                <w:left w:val="none" w:sz="0" w:space="0" w:color="auto"/>
                <w:bottom w:val="none" w:sz="0" w:space="0" w:color="auto"/>
                <w:right w:val="none" w:sz="0" w:space="0" w:color="auto"/>
              </w:divBdr>
            </w:div>
          </w:divsChild>
        </w:div>
      </w:divsChild>
    </w:div>
    <w:div w:id="744570411">
      <w:bodyDiv w:val="1"/>
      <w:marLeft w:val="0"/>
      <w:marRight w:val="0"/>
      <w:marTop w:val="0"/>
      <w:marBottom w:val="0"/>
      <w:divBdr>
        <w:top w:val="none" w:sz="0" w:space="0" w:color="auto"/>
        <w:left w:val="none" w:sz="0" w:space="0" w:color="auto"/>
        <w:bottom w:val="none" w:sz="0" w:space="0" w:color="auto"/>
        <w:right w:val="none" w:sz="0" w:space="0" w:color="auto"/>
      </w:divBdr>
    </w:div>
    <w:div w:id="779762100">
      <w:bodyDiv w:val="1"/>
      <w:marLeft w:val="0"/>
      <w:marRight w:val="0"/>
      <w:marTop w:val="0"/>
      <w:marBottom w:val="0"/>
      <w:divBdr>
        <w:top w:val="none" w:sz="0" w:space="0" w:color="auto"/>
        <w:left w:val="none" w:sz="0" w:space="0" w:color="auto"/>
        <w:bottom w:val="none" w:sz="0" w:space="0" w:color="auto"/>
        <w:right w:val="none" w:sz="0" w:space="0" w:color="auto"/>
      </w:divBdr>
    </w:div>
    <w:div w:id="783690770">
      <w:bodyDiv w:val="1"/>
      <w:marLeft w:val="0"/>
      <w:marRight w:val="0"/>
      <w:marTop w:val="0"/>
      <w:marBottom w:val="0"/>
      <w:divBdr>
        <w:top w:val="none" w:sz="0" w:space="0" w:color="auto"/>
        <w:left w:val="none" w:sz="0" w:space="0" w:color="auto"/>
        <w:bottom w:val="none" w:sz="0" w:space="0" w:color="auto"/>
        <w:right w:val="none" w:sz="0" w:space="0" w:color="auto"/>
      </w:divBdr>
    </w:div>
    <w:div w:id="788428225">
      <w:bodyDiv w:val="1"/>
      <w:marLeft w:val="0"/>
      <w:marRight w:val="0"/>
      <w:marTop w:val="0"/>
      <w:marBottom w:val="0"/>
      <w:divBdr>
        <w:top w:val="none" w:sz="0" w:space="0" w:color="auto"/>
        <w:left w:val="none" w:sz="0" w:space="0" w:color="auto"/>
        <w:bottom w:val="none" w:sz="0" w:space="0" w:color="auto"/>
        <w:right w:val="none" w:sz="0" w:space="0" w:color="auto"/>
      </w:divBdr>
    </w:div>
    <w:div w:id="796263828">
      <w:bodyDiv w:val="1"/>
      <w:marLeft w:val="0"/>
      <w:marRight w:val="0"/>
      <w:marTop w:val="0"/>
      <w:marBottom w:val="0"/>
      <w:divBdr>
        <w:top w:val="none" w:sz="0" w:space="0" w:color="auto"/>
        <w:left w:val="none" w:sz="0" w:space="0" w:color="auto"/>
        <w:bottom w:val="none" w:sz="0" w:space="0" w:color="auto"/>
        <w:right w:val="none" w:sz="0" w:space="0" w:color="auto"/>
      </w:divBdr>
    </w:div>
    <w:div w:id="799109866">
      <w:bodyDiv w:val="1"/>
      <w:marLeft w:val="0"/>
      <w:marRight w:val="0"/>
      <w:marTop w:val="0"/>
      <w:marBottom w:val="0"/>
      <w:divBdr>
        <w:top w:val="none" w:sz="0" w:space="0" w:color="auto"/>
        <w:left w:val="none" w:sz="0" w:space="0" w:color="auto"/>
        <w:bottom w:val="none" w:sz="0" w:space="0" w:color="auto"/>
        <w:right w:val="none" w:sz="0" w:space="0" w:color="auto"/>
      </w:divBdr>
    </w:div>
    <w:div w:id="825050949">
      <w:bodyDiv w:val="1"/>
      <w:marLeft w:val="0"/>
      <w:marRight w:val="0"/>
      <w:marTop w:val="0"/>
      <w:marBottom w:val="0"/>
      <w:divBdr>
        <w:top w:val="none" w:sz="0" w:space="0" w:color="auto"/>
        <w:left w:val="none" w:sz="0" w:space="0" w:color="auto"/>
        <w:bottom w:val="none" w:sz="0" w:space="0" w:color="auto"/>
        <w:right w:val="none" w:sz="0" w:space="0" w:color="auto"/>
      </w:divBdr>
    </w:div>
    <w:div w:id="846868769">
      <w:bodyDiv w:val="1"/>
      <w:marLeft w:val="0"/>
      <w:marRight w:val="0"/>
      <w:marTop w:val="0"/>
      <w:marBottom w:val="0"/>
      <w:divBdr>
        <w:top w:val="none" w:sz="0" w:space="0" w:color="auto"/>
        <w:left w:val="none" w:sz="0" w:space="0" w:color="auto"/>
        <w:bottom w:val="none" w:sz="0" w:space="0" w:color="auto"/>
        <w:right w:val="none" w:sz="0" w:space="0" w:color="auto"/>
      </w:divBdr>
    </w:div>
    <w:div w:id="854999058">
      <w:bodyDiv w:val="1"/>
      <w:marLeft w:val="0"/>
      <w:marRight w:val="0"/>
      <w:marTop w:val="0"/>
      <w:marBottom w:val="0"/>
      <w:divBdr>
        <w:top w:val="none" w:sz="0" w:space="0" w:color="auto"/>
        <w:left w:val="none" w:sz="0" w:space="0" w:color="auto"/>
        <w:bottom w:val="none" w:sz="0" w:space="0" w:color="auto"/>
        <w:right w:val="none" w:sz="0" w:space="0" w:color="auto"/>
      </w:divBdr>
    </w:div>
    <w:div w:id="872495976">
      <w:bodyDiv w:val="1"/>
      <w:marLeft w:val="0"/>
      <w:marRight w:val="0"/>
      <w:marTop w:val="0"/>
      <w:marBottom w:val="0"/>
      <w:divBdr>
        <w:top w:val="none" w:sz="0" w:space="0" w:color="auto"/>
        <w:left w:val="none" w:sz="0" w:space="0" w:color="auto"/>
        <w:bottom w:val="none" w:sz="0" w:space="0" w:color="auto"/>
        <w:right w:val="none" w:sz="0" w:space="0" w:color="auto"/>
      </w:divBdr>
    </w:div>
    <w:div w:id="900871194">
      <w:bodyDiv w:val="1"/>
      <w:marLeft w:val="0"/>
      <w:marRight w:val="0"/>
      <w:marTop w:val="0"/>
      <w:marBottom w:val="0"/>
      <w:divBdr>
        <w:top w:val="none" w:sz="0" w:space="0" w:color="auto"/>
        <w:left w:val="none" w:sz="0" w:space="0" w:color="auto"/>
        <w:bottom w:val="none" w:sz="0" w:space="0" w:color="auto"/>
        <w:right w:val="none" w:sz="0" w:space="0" w:color="auto"/>
      </w:divBdr>
    </w:div>
    <w:div w:id="913392075">
      <w:bodyDiv w:val="1"/>
      <w:marLeft w:val="0"/>
      <w:marRight w:val="0"/>
      <w:marTop w:val="0"/>
      <w:marBottom w:val="0"/>
      <w:divBdr>
        <w:top w:val="none" w:sz="0" w:space="0" w:color="auto"/>
        <w:left w:val="none" w:sz="0" w:space="0" w:color="auto"/>
        <w:bottom w:val="none" w:sz="0" w:space="0" w:color="auto"/>
        <w:right w:val="none" w:sz="0" w:space="0" w:color="auto"/>
      </w:divBdr>
    </w:div>
    <w:div w:id="922952248">
      <w:bodyDiv w:val="1"/>
      <w:marLeft w:val="0"/>
      <w:marRight w:val="0"/>
      <w:marTop w:val="0"/>
      <w:marBottom w:val="0"/>
      <w:divBdr>
        <w:top w:val="none" w:sz="0" w:space="0" w:color="auto"/>
        <w:left w:val="none" w:sz="0" w:space="0" w:color="auto"/>
        <w:bottom w:val="none" w:sz="0" w:space="0" w:color="auto"/>
        <w:right w:val="none" w:sz="0" w:space="0" w:color="auto"/>
      </w:divBdr>
    </w:div>
    <w:div w:id="929780539">
      <w:bodyDiv w:val="1"/>
      <w:marLeft w:val="0"/>
      <w:marRight w:val="0"/>
      <w:marTop w:val="0"/>
      <w:marBottom w:val="0"/>
      <w:divBdr>
        <w:top w:val="none" w:sz="0" w:space="0" w:color="auto"/>
        <w:left w:val="none" w:sz="0" w:space="0" w:color="auto"/>
        <w:bottom w:val="none" w:sz="0" w:space="0" w:color="auto"/>
        <w:right w:val="none" w:sz="0" w:space="0" w:color="auto"/>
      </w:divBdr>
    </w:div>
    <w:div w:id="945191042">
      <w:bodyDiv w:val="1"/>
      <w:marLeft w:val="0"/>
      <w:marRight w:val="0"/>
      <w:marTop w:val="0"/>
      <w:marBottom w:val="0"/>
      <w:divBdr>
        <w:top w:val="none" w:sz="0" w:space="0" w:color="auto"/>
        <w:left w:val="none" w:sz="0" w:space="0" w:color="auto"/>
        <w:bottom w:val="none" w:sz="0" w:space="0" w:color="auto"/>
        <w:right w:val="none" w:sz="0" w:space="0" w:color="auto"/>
      </w:divBdr>
    </w:div>
    <w:div w:id="956909896">
      <w:bodyDiv w:val="1"/>
      <w:marLeft w:val="0"/>
      <w:marRight w:val="0"/>
      <w:marTop w:val="0"/>
      <w:marBottom w:val="0"/>
      <w:divBdr>
        <w:top w:val="none" w:sz="0" w:space="0" w:color="auto"/>
        <w:left w:val="none" w:sz="0" w:space="0" w:color="auto"/>
        <w:bottom w:val="none" w:sz="0" w:space="0" w:color="auto"/>
        <w:right w:val="none" w:sz="0" w:space="0" w:color="auto"/>
      </w:divBdr>
    </w:div>
    <w:div w:id="973951279">
      <w:bodyDiv w:val="1"/>
      <w:marLeft w:val="0"/>
      <w:marRight w:val="0"/>
      <w:marTop w:val="0"/>
      <w:marBottom w:val="0"/>
      <w:divBdr>
        <w:top w:val="none" w:sz="0" w:space="0" w:color="auto"/>
        <w:left w:val="none" w:sz="0" w:space="0" w:color="auto"/>
        <w:bottom w:val="none" w:sz="0" w:space="0" w:color="auto"/>
        <w:right w:val="none" w:sz="0" w:space="0" w:color="auto"/>
      </w:divBdr>
    </w:div>
    <w:div w:id="977497245">
      <w:bodyDiv w:val="1"/>
      <w:marLeft w:val="0"/>
      <w:marRight w:val="0"/>
      <w:marTop w:val="0"/>
      <w:marBottom w:val="0"/>
      <w:divBdr>
        <w:top w:val="none" w:sz="0" w:space="0" w:color="auto"/>
        <w:left w:val="none" w:sz="0" w:space="0" w:color="auto"/>
        <w:bottom w:val="none" w:sz="0" w:space="0" w:color="auto"/>
        <w:right w:val="none" w:sz="0" w:space="0" w:color="auto"/>
      </w:divBdr>
    </w:div>
    <w:div w:id="981740217">
      <w:bodyDiv w:val="1"/>
      <w:marLeft w:val="0"/>
      <w:marRight w:val="0"/>
      <w:marTop w:val="0"/>
      <w:marBottom w:val="0"/>
      <w:divBdr>
        <w:top w:val="none" w:sz="0" w:space="0" w:color="auto"/>
        <w:left w:val="none" w:sz="0" w:space="0" w:color="auto"/>
        <w:bottom w:val="none" w:sz="0" w:space="0" w:color="auto"/>
        <w:right w:val="none" w:sz="0" w:space="0" w:color="auto"/>
      </w:divBdr>
    </w:div>
    <w:div w:id="1033574772">
      <w:bodyDiv w:val="1"/>
      <w:marLeft w:val="0"/>
      <w:marRight w:val="0"/>
      <w:marTop w:val="0"/>
      <w:marBottom w:val="0"/>
      <w:divBdr>
        <w:top w:val="none" w:sz="0" w:space="0" w:color="auto"/>
        <w:left w:val="none" w:sz="0" w:space="0" w:color="auto"/>
        <w:bottom w:val="none" w:sz="0" w:space="0" w:color="auto"/>
        <w:right w:val="none" w:sz="0" w:space="0" w:color="auto"/>
      </w:divBdr>
    </w:div>
    <w:div w:id="1040517299">
      <w:bodyDiv w:val="1"/>
      <w:marLeft w:val="0"/>
      <w:marRight w:val="0"/>
      <w:marTop w:val="0"/>
      <w:marBottom w:val="0"/>
      <w:divBdr>
        <w:top w:val="none" w:sz="0" w:space="0" w:color="auto"/>
        <w:left w:val="none" w:sz="0" w:space="0" w:color="auto"/>
        <w:bottom w:val="none" w:sz="0" w:space="0" w:color="auto"/>
        <w:right w:val="none" w:sz="0" w:space="0" w:color="auto"/>
      </w:divBdr>
    </w:div>
    <w:div w:id="1051925641">
      <w:bodyDiv w:val="1"/>
      <w:marLeft w:val="0"/>
      <w:marRight w:val="0"/>
      <w:marTop w:val="0"/>
      <w:marBottom w:val="0"/>
      <w:divBdr>
        <w:top w:val="none" w:sz="0" w:space="0" w:color="auto"/>
        <w:left w:val="none" w:sz="0" w:space="0" w:color="auto"/>
        <w:bottom w:val="none" w:sz="0" w:space="0" w:color="auto"/>
        <w:right w:val="none" w:sz="0" w:space="0" w:color="auto"/>
      </w:divBdr>
    </w:div>
    <w:div w:id="1074932818">
      <w:bodyDiv w:val="1"/>
      <w:marLeft w:val="0"/>
      <w:marRight w:val="0"/>
      <w:marTop w:val="0"/>
      <w:marBottom w:val="0"/>
      <w:divBdr>
        <w:top w:val="none" w:sz="0" w:space="0" w:color="auto"/>
        <w:left w:val="none" w:sz="0" w:space="0" w:color="auto"/>
        <w:bottom w:val="none" w:sz="0" w:space="0" w:color="auto"/>
        <w:right w:val="none" w:sz="0" w:space="0" w:color="auto"/>
      </w:divBdr>
    </w:div>
    <w:div w:id="1095057714">
      <w:bodyDiv w:val="1"/>
      <w:marLeft w:val="0"/>
      <w:marRight w:val="0"/>
      <w:marTop w:val="0"/>
      <w:marBottom w:val="0"/>
      <w:divBdr>
        <w:top w:val="none" w:sz="0" w:space="0" w:color="auto"/>
        <w:left w:val="none" w:sz="0" w:space="0" w:color="auto"/>
        <w:bottom w:val="none" w:sz="0" w:space="0" w:color="auto"/>
        <w:right w:val="none" w:sz="0" w:space="0" w:color="auto"/>
      </w:divBdr>
    </w:div>
    <w:div w:id="1096483902">
      <w:bodyDiv w:val="1"/>
      <w:marLeft w:val="0"/>
      <w:marRight w:val="0"/>
      <w:marTop w:val="0"/>
      <w:marBottom w:val="0"/>
      <w:divBdr>
        <w:top w:val="none" w:sz="0" w:space="0" w:color="auto"/>
        <w:left w:val="none" w:sz="0" w:space="0" w:color="auto"/>
        <w:bottom w:val="none" w:sz="0" w:space="0" w:color="auto"/>
        <w:right w:val="none" w:sz="0" w:space="0" w:color="auto"/>
      </w:divBdr>
    </w:div>
    <w:div w:id="1100299841">
      <w:bodyDiv w:val="1"/>
      <w:marLeft w:val="0"/>
      <w:marRight w:val="0"/>
      <w:marTop w:val="0"/>
      <w:marBottom w:val="0"/>
      <w:divBdr>
        <w:top w:val="none" w:sz="0" w:space="0" w:color="auto"/>
        <w:left w:val="none" w:sz="0" w:space="0" w:color="auto"/>
        <w:bottom w:val="none" w:sz="0" w:space="0" w:color="auto"/>
        <w:right w:val="none" w:sz="0" w:space="0" w:color="auto"/>
      </w:divBdr>
      <w:divsChild>
        <w:div w:id="676733302">
          <w:marLeft w:val="0"/>
          <w:marRight w:val="0"/>
          <w:marTop w:val="0"/>
          <w:marBottom w:val="0"/>
          <w:divBdr>
            <w:top w:val="none" w:sz="0" w:space="0" w:color="auto"/>
            <w:left w:val="none" w:sz="0" w:space="0" w:color="auto"/>
            <w:bottom w:val="none" w:sz="0" w:space="0" w:color="auto"/>
            <w:right w:val="none" w:sz="0" w:space="0" w:color="auto"/>
          </w:divBdr>
        </w:div>
      </w:divsChild>
    </w:div>
    <w:div w:id="1153911180">
      <w:bodyDiv w:val="1"/>
      <w:marLeft w:val="0"/>
      <w:marRight w:val="0"/>
      <w:marTop w:val="0"/>
      <w:marBottom w:val="0"/>
      <w:divBdr>
        <w:top w:val="none" w:sz="0" w:space="0" w:color="auto"/>
        <w:left w:val="none" w:sz="0" w:space="0" w:color="auto"/>
        <w:bottom w:val="none" w:sz="0" w:space="0" w:color="auto"/>
        <w:right w:val="none" w:sz="0" w:space="0" w:color="auto"/>
      </w:divBdr>
    </w:div>
    <w:div w:id="1156147126">
      <w:bodyDiv w:val="1"/>
      <w:marLeft w:val="0"/>
      <w:marRight w:val="0"/>
      <w:marTop w:val="0"/>
      <w:marBottom w:val="0"/>
      <w:divBdr>
        <w:top w:val="none" w:sz="0" w:space="0" w:color="auto"/>
        <w:left w:val="none" w:sz="0" w:space="0" w:color="auto"/>
        <w:bottom w:val="none" w:sz="0" w:space="0" w:color="auto"/>
        <w:right w:val="none" w:sz="0" w:space="0" w:color="auto"/>
      </w:divBdr>
    </w:div>
    <w:div w:id="1156653028">
      <w:bodyDiv w:val="1"/>
      <w:marLeft w:val="0"/>
      <w:marRight w:val="0"/>
      <w:marTop w:val="0"/>
      <w:marBottom w:val="0"/>
      <w:divBdr>
        <w:top w:val="none" w:sz="0" w:space="0" w:color="auto"/>
        <w:left w:val="none" w:sz="0" w:space="0" w:color="auto"/>
        <w:bottom w:val="none" w:sz="0" w:space="0" w:color="auto"/>
        <w:right w:val="none" w:sz="0" w:space="0" w:color="auto"/>
      </w:divBdr>
    </w:div>
    <w:div w:id="1172330885">
      <w:bodyDiv w:val="1"/>
      <w:marLeft w:val="0"/>
      <w:marRight w:val="0"/>
      <w:marTop w:val="0"/>
      <w:marBottom w:val="0"/>
      <w:divBdr>
        <w:top w:val="none" w:sz="0" w:space="0" w:color="auto"/>
        <w:left w:val="none" w:sz="0" w:space="0" w:color="auto"/>
        <w:bottom w:val="none" w:sz="0" w:space="0" w:color="auto"/>
        <w:right w:val="none" w:sz="0" w:space="0" w:color="auto"/>
      </w:divBdr>
    </w:div>
    <w:div w:id="1196505569">
      <w:bodyDiv w:val="1"/>
      <w:marLeft w:val="0"/>
      <w:marRight w:val="0"/>
      <w:marTop w:val="0"/>
      <w:marBottom w:val="0"/>
      <w:divBdr>
        <w:top w:val="none" w:sz="0" w:space="0" w:color="auto"/>
        <w:left w:val="none" w:sz="0" w:space="0" w:color="auto"/>
        <w:bottom w:val="none" w:sz="0" w:space="0" w:color="auto"/>
        <w:right w:val="none" w:sz="0" w:space="0" w:color="auto"/>
      </w:divBdr>
    </w:div>
    <w:div w:id="1215659248">
      <w:bodyDiv w:val="1"/>
      <w:marLeft w:val="0"/>
      <w:marRight w:val="0"/>
      <w:marTop w:val="0"/>
      <w:marBottom w:val="0"/>
      <w:divBdr>
        <w:top w:val="none" w:sz="0" w:space="0" w:color="auto"/>
        <w:left w:val="none" w:sz="0" w:space="0" w:color="auto"/>
        <w:bottom w:val="none" w:sz="0" w:space="0" w:color="auto"/>
        <w:right w:val="none" w:sz="0" w:space="0" w:color="auto"/>
      </w:divBdr>
    </w:div>
    <w:div w:id="1228567022">
      <w:bodyDiv w:val="1"/>
      <w:marLeft w:val="0"/>
      <w:marRight w:val="0"/>
      <w:marTop w:val="0"/>
      <w:marBottom w:val="0"/>
      <w:divBdr>
        <w:top w:val="none" w:sz="0" w:space="0" w:color="auto"/>
        <w:left w:val="none" w:sz="0" w:space="0" w:color="auto"/>
        <w:bottom w:val="none" w:sz="0" w:space="0" w:color="auto"/>
        <w:right w:val="none" w:sz="0" w:space="0" w:color="auto"/>
      </w:divBdr>
    </w:div>
    <w:div w:id="1246647598">
      <w:bodyDiv w:val="1"/>
      <w:marLeft w:val="0"/>
      <w:marRight w:val="0"/>
      <w:marTop w:val="0"/>
      <w:marBottom w:val="0"/>
      <w:divBdr>
        <w:top w:val="none" w:sz="0" w:space="0" w:color="auto"/>
        <w:left w:val="none" w:sz="0" w:space="0" w:color="auto"/>
        <w:bottom w:val="none" w:sz="0" w:space="0" w:color="auto"/>
        <w:right w:val="none" w:sz="0" w:space="0" w:color="auto"/>
      </w:divBdr>
    </w:div>
    <w:div w:id="1252815795">
      <w:bodyDiv w:val="1"/>
      <w:marLeft w:val="0"/>
      <w:marRight w:val="0"/>
      <w:marTop w:val="0"/>
      <w:marBottom w:val="0"/>
      <w:divBdr>
        <w:top w:val="none" w:sz="0" w:space="0" w:color="auto"/>
        <w:left w:val="none" w:sz="0" w:space="0" w:color="auto"/>
        <w:bottom w:val="none" w:sz="0" w:space="0" w:color="auto"/>
        <w:right w:val="none" w:sz="0" w:space="0" w:color="auto"/>
      </w:divBdr>
    </w:div>
    <w:div w:id="1258362983">
      <w:bodyDiv w:val="1"/>
      <w:marLeft w:val="0"/>
      <w:marRight w:val="0"/>
      <w:marTop w:val="0"/>
      <w:marBottom w:val="0"/>
      <w:divBdr>
        <w:top w:val="none" w:sz="0" w:space="0" w:color="auto"/>
        <w:left w:val="none" w:sz="0" w:space="0" w:color="auto"/>
        <w:bottom w:val="none" w:sz="0" w:space="0" w:color="auto"/>
        <w:right w:val="none" w:sz="0" w:space="0" w:color="auto"/>
      </w:divBdr>
    </w:div>
    <w:div w:id="1280181856">
      <w:bodyDiv w:val="1"/>
      <w:marLeft w:val="0"/>
      <w:marRight w:val="0"/>
      <w:marTop w:val="0"/>
      <w:marBottom w:val="0"/>
      <w:divBdr>
        <w:top w:val="none" w:sz="0" w:space="0" w:color="auto"/>
        <w:left w:val="none" w:sz="0" w:space="0" w:color="auto"/>
        <w:bottom w:val="none" w:sz="0" w:space="0" w:color="auto"/>
        <w:right w:val="none" w:sz="0" w:space="0" w:color="auto"/>
      </w:divBdr>
    </w:div>
    <w:div w:id="1297955125">
      <w:bodyDiv w:val="1"/>
      <w:marLeft w:val="0"/>
      <w:marRight w:val="0"/>
      <w:marTop w:val="0"/>
      <w:marBottom w:val="0"/>
      <w:divBdr>
        <w:top w:val="none" w:sz="0" w:space="0" w:color="auto"/>
        <w:left w:val="none" w:sz="0" w:space="0" w:color="auto"/>
        <w:bottom w:val="none" w:sz="0" w:space="0" w:color="auto"/>
        <w:right w:val="none" w:sz="0" w:space="0" w:color="auto"/>
      </w:divBdr>
    </w:div>
    <w:div w:id="1298490530">
      <w:bodyDiv w:val="1"/>
      <w:marLeft w:val="0"/>
      <w:marRight w:val="0"/>
      <w:marTop w:val="0"/>
      <w:marBottom w:val="0"/>
      <w:divBdr>
        <w:top w:val="none" w:sz="0" w:space="0" w:color="auto"/>
        <w:left w:val="none" w:sz="0" w:space="0" w:color="auto"/>
        <w:bottom w:val="none" w:sz="0" w:space="0" w:color="auto"/>
        <w:right w:val="none" w:sz="0" w:space="0" w:color="auto"/>
      </w:divBdr>
    </w:div>
    <w:div w:id="1308785297">
      <w:bodyDiv w:val="1"/>
      <w:marLeft w:val="0"/>
      <w:marRight w:val="0"/>
      <w:marTop w:val="0"/>
      <w:marBottom w:val="0"/>
      <w:divBdr>
        <w:top w:val="none" w:sz="0" w:space="0" w:color="auto"/>
        <w:left w:val="none" w:sz="0" w:space="0" w:color="auto"/>
        <w:bottom w:val="none" w:sz="0" w:space="0" w:color="auto"/>
        <w:right w:val="none" w:sz="0" w:space="0" w:color="auto"/>
      </w:divBdr>
    </w:div>
    <w:div w:id="1331906361">
      <w:bodyDiv w:val="1"/>
      <w:marLeft w:val="0"/>
      <w:marRight w:val="0"/>
      <w:marTop w:val="0"/>
      <w:marBottom w:val="0"/>
      <w:divBdr>
        <w:top w:val="none" w:sz="0" w:space="0" w:color="auto"/>
        <w:left w:val="none" w:sz="0" w:space="0" w:color="auto"/>
        <w:bottom w:val="none" w:sz="0" w:space="0" w:color="auto"/>
        <w:right w:val="none" w:sz="0" w:space="0" w:color="auto"/>
      </w:divBdr>
    </w:div>
    <w:div w:id="1337459753">
      <w:bodyDiv w:val="1"/>
      <w:marLeft w:val="0"/>
      <w:marRight w:val="0"/>
      <w:marTop w:val="0"/>
      <w:marBottom w:val="0"/>
      <w:divBdr>
        <w:top w:val="none" w:sz="0" w:space="0" w:color="auto"/>
        <w:left w:val="none" w:sz="0" w:space="0" w:color="auto"/>
        <w:bottom w:val="none" w:sz="0" w:space="0" w:color="auto"/>
        <w:right w:val="none" w:sz="0" w:space="0" w:color="auto"/>
      </w:divBdr>
    </w:div>
    <w:div w:id="1338771249">
      <w:bodyDiv w:val="1"/>
      <w:marLeft w:val="0"/>
      <w:marRight w:val="0"/>
      <w:marTop w:val="0"/>
      <w:marBottom w:val="0"/>
      <w:divBdr>
        <w:top w:val="none" w:sz="0" w:space="0" w:color="auto"/>
        <w:left w:val="none" w:sz="0" w:space="0" w:color="auto"/>
        <w:bottom w:val="none" w:sz="0" w:space="0" w:color="auto"/>
        <w:right w:val="none" w:sz="0" w:space="0" w:color="auto"/>
      </w:divBdr>
    </w:div>
    <w:div w:id="1346400420">
      <w:bodyDiv w:val="1"/>
      <w:marLeft w:val="0"/>
      <w:marRight w:val="0"/>
      <w:marTop w:val="0"/>
      <w:marBottom w:val="0"/>
      <w:divBdr>
        <w:top w:val="none" w:sz="0" w:space="0" w:color="auto"/>
        <w:left w:val="none" w:sz="0" w:space="0" w:color="auto"/>
        <w:bottom w:val="none" w:sz="0" w:space="0" w:color="auto"/>
        <w:right w:val="none" w:sz="0" w:space="0" w:color="auto"/>
      </w:divBdr>
    </w:div>
    <w:div w:id="1365322948">
      <w:bodyDiv w:val="1"/>
      <w:marLeft w:val="0"/>
      <w:marRight w:val="0"/>
      <w:marTop w:val="0"/>
      <w:marBottom w:val="0"/>
      <w:divBdr>
        <w:top w:val="none" w:sz="0" w:space="0" w:color="auto"/>
        <w:left w:val="none" w:sz="0" w:space="0" w:color="auto"/>
        <w:bottom w:val="none" w:sz="0" w:space="0" w:color="auto"/>
        <w:right w:val="none" w:sz="0" w:space="0" w:color="auto"/>
      </w:divBdr>
    </w:div>
    <w:div w:id="1380974968">
      <w:bodyDiv w:val="1"/>
      <w:marLeft w:val="0"/>
      <w:marRight w:val="0"/>
      <w:marTop w:val="0"/>
      <w:marBottom w:val="0"/>
      <w:divBdr>
        <w:top w:val="none" w:sz="0" w:space="0" w:color="auto"/>
        <w:left w:val="none" w:sz="0" w:space="0" w:color="auto"/>
        <w:bottom w:val="none" w:sz="0" w:space="0" w:color="auto"/>
        <w:right w:val="none" w:sz="0" w:space="0" w:color="auto"/>
      </w:divBdr>
    </w:div>
    <w:div w:id="1390225425">
      <w:bodyDiv w:val="1"/>
      <w:marLeft w:val="0"/>
      <w:marRight w:val="0"/>
      <w:marTop w:val="0"/>
      <w:marBottom w:val="0"/>
      <w:divBdr>
        <w:top w:val="none" w:sz="0" w:space="0" w:color="auto"/>
        <w:left w:val="none" w:sz="0" w:space="0" w:color="auto"/>
        <w:bottom w:val="none" w:sz="0" w:space="0" w:color="auto"/>
        <w:right w:val="none" w:sz="0" w:space="0" w:color="auto"/>
      </w:divBdr>
    </w:div>
    <w:div w:id="1392775924">
      <w:bodyDiv w:val="1"/>
      <w:marLeft w:val="0"/>
      <w:marRight w:val="0"/>
      <w:marTop w:val="0"/>
      <w:marBottom w:val="0"/>
      <w:divBdr>
        <w:top w:val="none" w:sz="0" w:space="0" w:color="auto"/>
        <w:left w:val="none" w:sz="0" w:space="0" w:color="auto"/>
        <w:bottom w:val="none" w:sz="0" w:space="0" w:color="auto"/>
        <w:right w:val="none" w:sz="0" w:space="0" w:color="auto"/>
      </w:divBdr>
    </w:div>
    <w:div w:id="1403335135">
      <w:bodyDiv w:val="1"/>
      <w:marLeft w:val="0"/>
      <w:marRight w:val="0"/>
      <w:marTop w:val="0"/>
      <w:marBottom w:val="0"/>
      <w:divBdr>
        <w:top w:val="none" w:sz="0" w:space="0" w:color="auto"/>
        <w:left w:val="none" w:sz="0" w:space="0" w:color="auto"/>
        <w:bottom w:val="none" w:sz="0" w:space="0" w:color="auto"/>
        <w:right w:val="none" w:sz="0" w:space="0" w:color="auto"/>
      </w:divBdr>
    </w:div>
    <w:div w:id="1488590541">
      <w:bodyDiv w:val="1"/>
      <w:marLeft w:val="0"/>
      <w:marRight w:val="0"/>
      <w:marTop w:val="0"/>
      <w:marBottom w:val="0"/>
      <w:divBdr>
        <w:top w:val="none" w:sz="0" w:space="0" w:color="auto"/>
        <w:left w:val="none" w:sz="0" w:space="0" w:color="auto"/>
        <w:bottom w:val="none" w:sz="0" w:space="0" w:color="auto"/>
        <w:right w:val="none" w:sz="0" w:space="0" w:color="auto"/>
      </w:divBdr>
    </w:div>
    <w:div w:id="1490555685">
      <w:bodyDiv w:val="1"/>
      <w:marLeft w:val="0"/>
      <w:marRight w:val="0"/>
      <w:marTop w:val="0"/>
      <w:marBottom w:val="0"/>
      <w:divBdr>
        <w:top w:val="none" w:sz="0" w:space="0" w:color="auto"/>
        <w:left w:val="none" w:sz="0" w:space="0" w:color="auto"/>
        <w:bottom w:val="none" w:sz="0" w:space="0" w:color="auto"/>
        <w:right w:val="none" w:sz="0" w:space="0" w:color="auto"/>
      </w:divBdr>
    </w:div>
    <w:div w:id="1535996257">
      <w:bodyDiv w:val="1"/>
      <w:marLeft w:val="0"/>
      <w:marRight w:val="0"/>
      <w:marTop w:val="0"/>
      <w:marBottom w:val="0"/>
      <w:divBdr>
        <w:top w:val="none" w:sz="0" w:space="0" w:color="auto"/>
        <w:left w:val="none" w:sz="0" w:space="0" w:color="auto"/>
        <w:bottom w:val="none" w:sz="0" w:space="0" w:color="auto"/>
        <w:right w:val="none" w:sz="0" w:space="0" w:color="auto"/>
      </w:divBdr>
    </w:div>
    <w:div w:id="1554383996">
      <w:bodyDiv w:val="1"/>
      <w:marLeft w:val="0"/>
      <w:marRight w:val="0"/>
      <w:marTop w:val="0"/>
      <w:marBottom w:val="0"/>
      <w:divBdr>
        <w:top w:val="none" w:sz="0" w:space="0" w:color="auto"/>
        <w:left w:val="none" w:sz="0" w:space="0" w:color="auto"/>
        <w:bottom w:val="none" w:sz="0" w:space="0" w:color="auto"/>
        <w:right w:val="none" w:sz="0" w:space="0" w:color="auto"/>
      </w:divBdr>
    </w:div>
    <w:div w:id="1569265841">
      <w:bodyDiv w:val="1"/>
      <w:marLeft w:val="0"/>
      <w:marRight w:val="0"/>
      <w:marTop w:val="0"/>
      <w:marBottom w:val="0"/>
      <w:divBdr>
        <w:top w:val="none" w:sz="0" w:space="0" w:color="auto"/>
        <w:left w:val="none" w:sz="0" w:space="0" w:color="auto"/>
        <w:bottom w:val="none" w:sz="0" w:space="0" w:color="auto"/>
        <w:right w:val="none" w:sz="0" w:space="0" w:color="auto"/>
      </w:divBdr>
    </w:div>
    <w:div w:id="1572278812">
      <w:bodyDiv w:val="1"/>
      <w:marLeft w:val="0"/>
      <w:marRight w:val="0"/>
      <w:marTop w:val="0"/>
      <w:marBottom w:val="0"/>
      <w:divBdr>
        <w:top w:val="none" w:sz="0" w:space="0" w:color="auto"/>
        <w:left w:val="none" w:sz="0" w:space="0" w:color="auto"/>
        <w:bottom w:val="none" w:sz="0" w:space="0" w:color="auto"/>
        <w:right w:val="none" w:sz="0" w:space="0" w:color="auto"/>
      </w:divBdr>
    </w:div>
    <w:div w:id="1582984207">
      <w:bodyDiv w:val="1"/>
      <w:marLeft w:val="0"/>
      <w:marRight w:val="0"/>
      <w:marTop w:val="0"/>
      <w:marBottom w:val="0"/>
      <w:divBdr>
        <w:top w:val="none" w:sz="0" w:space="0" w:color="auto"/>
        <w:left w:val="none" w:sz="0" w:space="0" w:color="auto"/>
        <w:bottom w:val="none" w:sz="0" w:space="0" w:color="auto"/>
        <w:right w:val="none" w:sz="0" w:space="0" w:color="auto"/>
      </w:divBdr>
    </w:div>
    <w:div w:id="1621524101">
      <w:bodyDiv w:val="1"/>
      <w:marLeft w:val="0"/>
      <w:marRight w:val="0"/>
      <w:marTop w:val="0"/>
      <w:marBottom w:val="0"/>
      <w:divBdr>
        <w:top w:val="none" w:sz="0" w:space="0" w:color="auto"/>
        <w:left w:val="none" w:sz="0" w:space="0" w:color="auto"/>
        <w:bottom w:val="none" w:sz="0" w:space="0" w:color="auto"/>
        <w:right w:val="none" w:sz="0" w:space="0" w:color="auto"/>
      </w:divBdr>
    </w:div>
    <w:div w:id="1632636149">
      <w:bodyDiv w:val="1"/>
      <w:marLeft w:val="0"/>
      <w:marRight w:val="0"/>
      <w:marTop w:val="0"/>
      <w:marBottom w:val="0"/>
      <w:divBdr>
        <w:top w:val="none" w:sz="0" w:space="0" w:color="auto"/>
        <w:left w:val="none" w:sz="0" w:space="0" w:color="auto"/>
        <w:bottom w:val="none" w:sz="0" w:space="0" w:color="auto"/>
        <w:right w:val="none" w:sz="0" w:space="0" w:color="auto"/>
      </w:divBdr>
    </w:div>
    <w:div w:id="1643463267">
      <w:bodyDiv w:val="1"/>
      <w:marLeft w:val="0"/>
      <w:marRight w:val="0"/>
      <w:marTop w:val="0"/>
      <w:marBottom w:val="0"/>
      <w:divBdr>
        <w:top w:val="none" w:sz="0" w:space="0" w:color="auto"/>
        <w:left w:val="none" w:sz="0" w:space="0" w:color="auto"/>
        <w:bottom w:val="none" w:sz="0" w:space="0" w:color="auto"/>
        <w:right w:val="none" w:sz="0" w:space="0" w:color="auto"/>
      </w:divBdr>
    </w:div>
    <w:div w:id="1668244682">
      <w:bodyDiv w:val="1"/>
      <w:marLeft w:val="0"/>
      <w:marRight w:val="0"/>
      <w:marTop w:val="0"/>
      <w:marBottom w:val="0"/>
      <w:divBdr>
        <w:top w:val="none" w:sz="0" w:space="0" w:color="auto"/>
        <w:left w:val="none" w:sz="0" w:space="0" w:color="auto"/>
        <w:bottom w:val="none" w:sz="0" w:space="0" w:color="auto"/>
        <w:right w:val="none" w:sz="0" w:space="0" w:color="auto"/>
      </w:divBdr>
    </w:div>
    <w:div w:id="1668898392">
      <w:bodyDiv w:val="1"/>
      <w:marLeft w:val="0"/>
      <w:marRight w:val="0"/>
      <w:marTop w:val="0"/>
      <w:marBottom w:val="0"/>
      <w:divBdr>
        <w:top w:val="none" w:sz="0" w:space="0" w:color="auto"/>
        <w:left w:val="none" w:sz="0" w:space="0" w:color="auto"/>
        <w:bottom w:val="none" w:sz="0" w:space="0" w:color="auto"/>
        <w:right w:val="none" w:sz="0" w:space="0" w:color="auto"/>
      </w:divBdr>
    </w:div>
    <w:div w:id="1683972687">
      <w:bodyDiv w:val="1"/>
      <w:marLeft w:val="0"/>
      <w:marRight w:val="0"/>
      <w:marTop w:val="0"/>
      <w:marBottom w:val="0"/>
      <w:divBdr>
        <w:top w:val="none" w:sz="0" w:space="0" w:color="auto"/>
        <w:left w:val="none" w:sz="0" w:space="0" w:color="auto"/>
        <w:bottom w:val="none" w:sz="0" w:space="0" w:color="auto"/>
        <w:right w:val="none" w:sz="0" w:space="0" w:color="auto"/>
      </w:divBdr>
    </w:div>
    <w:div w:id="1701737341">
      <w:bodyDiv w:val="1"/>
      <w:marLeft w:val="0"/>
      <w:marRight w:val="0"/>
      <w:marTop w:val="0"/>
      <w:marBottom w:val="0"/>
      <w:divBdr>
        <w:top w:val="none" w:sz="0" w:space="0" w:color="auto"/>
        <w:left w:val="none" w:sz="0" w:space="0" w:color="auto"/>
        <w:bottom w:val="none" w:sz="0" w:space="0" w:color="auto"/>
        <w:right w:val="none" w:sz="0" w:space="0" w:color="auto"/>
      </w:divBdr>
    </w:div>
    <w:div w:id="1712612000">
      <w:bodyDiv w:val="1"/>
      <w:marLeft w:val="0"/>
      <w:marRight w:val="0"/>
      <w:marTop w:val="0"/>
      <w:marBottom w:val="0"/>
      <w:divBdr>
        <w:top w:val="none" w:sz="0" w:space="0" w:color="auto"/>
        <w:left w:val="none" w:sz="0" w:space="0" w:color="auto"/>
        <w:bottom w:val="none" w:sz="0" w:space="0" w:color="auto"/>
        <w:right w:val="none" w:sz="0" w:space="0" w:color="auto"/>
      </w:divBdr>
    </w:div>
    <w:div w:id="1713966976">
      <w:bodyDiv w:val="1"/>
      <w:marLeft w:val="0"/>
      <w:marRight w:val="0"/>
      <w:marTop w:val="0"/>
      <w:marBottom w:val="0"/>
      <w:divBdr>
        <w:top w:val="none" w:sz="0" w:space="0" w:color="auto"/>
        <w:left w:val="none" w:sz="0" w:space="0" w:color="auto"/>
        <w:bottom w:val="none" w:sz="0" w:space="0" w:color="auto"/>
        <w:right w:val="none" w:sz="0" w:space="0" w:color="auto"/>
      </w:divBdr>
    </w:div>
    <w:div w:id="1720857748">
      <w:bodyDiv w:val="1"/>
      <w:marLeft w:val="0"/>
      <w:marRight w:val="0"/>
      <w:marTop w:val="0"/>
      <w:marBottom w:val="0"/>
      <w:divBdr>
        <w:top w:val="none" w:sz="0" w:space="0" w:color="auto"/>
        <w:left w:val="none" w:sz="0" w:space="0" w:color="auto"/>
        <w:bottom w:val="none" w:sz="0" w:space="0" w:color="auto"/>
        <w:right w:val="none" w:sz="0" w:space="0" w:color="auto"/>
      </w:divBdr>
    </w:div>
    <w:div w:id="1722055367">
      <w:bodyDiv w:val="1"/>
      <w:marLeft w:val="0"/>
      <w:marRight w:val="0"/>
      <w:marTop w:val="0"/>
      <w:marBottom w:val="0"/>
      <w:divBdr>
        <w:top w:val="none" w:sz="0" w:space="0" w:color="auto"/>
        <w:left w:val="none" w:sz="0" w:space="0" w:color="auto"/>
        <w:bottom w:val="none" w:sz="0" w:space="0" w:color="auto"/>
        <w:right w:val="none" w:sz="0" w:space="0" w:color="auto"/>
      </w:divBdr>
    </w:div>
    <w:div w:id="1743211276">
      <w:bodyDiv w:val="1"/>
      <w:marLeft w:val="0"/>
      <w:marRight w:val="0"/>
      <w:marTop w:val="0"/>
      <w:marBottom w:val="0"/>
      <w:divBdr>
        <w:top w:val="none" w:sz="0" w:space="0" w:color="auto"/>
        <w:left w:val="none" w:sz="0" w:space="0" w:color="auto"/>
        <w:bottom w:val="none" w:sz="0" w:space="0" w:color="auto"/>
        <w:right w:val="none" w:sz="0" w:space="0" w:color="auto"/>
      </w:divBdr>
      <w:divsChild>
        <w:div w:id="576674922">
          <w:marLeft w:val="0"/>
          <w:marRight w:val="0"/>
          <w:marTop w:val="0"/>
          <w:marBottom w:val="0"/>
          <w:divBdr>
            <w:top w:val="none" w:sz="0" w:space="0" w:color="auto"/>
            <w:left w:val="none" w:sz="0" w:space="0" w:color="auto"/>
            <w:bottom w:val="none" w:sz="0" w:space="0" w:color="auto"/>
            <w:right w:val="none" w:sz="0" w:space="0" w:color="auto"/>
          </w:divBdr>
          <w:divsChild>
            <w:div w:id="1271619868">
              <w:marLeft w:val="4021"/>
              <w:marRight w:val="0"/>
              <w:marTop w:val="0"/>
              <w:marBottom w:val="150"/>
              <w:divBdr>
                <w:top w:val="none" w:sz="0" w:space="0" w:color="auto"/>
                <w:left w:val="none" w:sz="0" w:space="0" w:color="auto"/>
                <w:bottom w:val="none" w:sz="0" w:space="0" w:color="auto"/>
                <w:right w:val="none" w:sz="0" w:space="0" w:color="auto"/>
              </w:divBdr>
            </w:div>
          </w:divsChild>
        </w:div>
      </w:divsChild>
    </w:div>
    <w:div w:id="1770159406">
      <w:bodyDiv w:val="1"/>
      <w:marLeft w:val="0"/>
      <w:marRight w:val="0"/>
      <w:marTop w:val="0"/>
      <w:marBottom w:val="0"/>
      <w:divBdr>
        <w:top w:val="none" w:sz="0" w:space="0" w:color="auto"/>
        <w:left w:val="none" w:sz="0" w:space="0" w:color="auto"/>
        <w:bottom w:val="none" w:sz="0" w:space="0" w:color="auto"/>
        <w:right w:val="none" w:sz="0" w:space="0" w:color="auto"/>
      </w:divBdr>
    </w:div>
    <w:div w:id="1773623417">
      <w:bodyDiv w:val="1"/>
      <w:marLeft w:val="0"/>
      <w:marRight w:val="0"/>
      <w:marTop w:val="0"/>
      <w:marBottom w:val="0"/>
      <w:divBdr>
        <w:top w:val="none" w:sz="0" w:space="0" w:color="auto"/>
        <w:left w:val="none" w:sz="0" w:space="0" w:color="auto"/>
        <w:bottom w:val="none" w:sz="0" w:space="0" w:color="auto"/>
        <w:right w:val="none" w:sz="0" w:space="0" w:color="auto"/>
      </w:divBdr>
    </w:div>
    <w:div w:id="1784156190">
      <w:bodyDiv w:val="1"/>
      <w:marLeft w:val="0"/>
      <w:marRight w:val="0"/>
      <w:marTop w:val="0"/>
      <w:marBottom w:val="0"/>
      <w:divBdr>
        <w:top w:val="none" w:sz="0" w:space="0" w:color="auto"/>
        <w:left w:val="none" w:sz="0" w:space="0" w:color="auto"/>
        <w:bottom w:val="none" w:sz="0" w:space="0" w:color="auto"/>
        <w:right w:val="none" w:sz="0" w:space="0" w:color="auto"/>
      </w:divBdr>
    </w:div>
    <w:div w:id="1788624785">
      <w:bodyDiv w:val="1"/>
      <w:marLeft w:val="0"/>
      <w:marRight w:val="0"/>
      <w:marTop w:val="0"/>
      <w:marBottom w:val="0"/>
      <w:divBdr>
        <w:top w:val="none" w:sz="0" w:space="0" w:color="auto"/>
        <w:left w:val="none" w:sz="0" w:space="0" w:color="auto"/>
        <w:bottom w:val="none" w:sz="0" w:space="0" w:color="auto"/>
        <w:right w:val="none" w:sz="0" w:space="0" w:color="auto"/>
      </w:divBdr>
      <w:divsChild>
        <w:div w:id="844630563">
          <w:marLeft w:val="0"/>
          <w:marRight w:val="0"/>
          <w:marTop w:val="0"/>
          <w:marBottom w:val="0"/>
          <w:divBdr>
            <w:top w:val="none" w:sz="0" w:space="0" w:color="auto"/>
            <w:left w:val="none" w:sz="0" w:space="0" w:color="auto"/>
            <w:bottom w:val="none" w:sz="0" w:space="0" w:color="auto"/>
            <w:right w:val="none" w:sz="0" w:space="0" w:color="auto"/>
          </w:divBdr>
          <w:divsChild>
            <w:div w:id="12194355">
              <w:marLeft w:val="0"/>
              <w:marRight w:val="0"/>
              <w:marTop w:val="0"/>
              <w:marBottom w:val="0"/>
              <w:divBdr>
                <w:top w:val="none" w:sz="0" w:space="0" w:color="auto"/>
                <w:left w:val="none" w:sz="0" w:space="0" w:color="auto"/>
                <w:bottom w:val="none" w:sz="0" w:space="0" w:color="auto"/>
                <w:right w:val="none" w:sz="0" w:space="0" w:color="auto"/>
              </w:divBdr>
            </w:div>
            <w:div w:id="213859487">
              <w:marLeft w:val="0"/>
              <w:marRight w:val="0"/>
              <w:marTop w:val="0"/>
              <w:marBottom w:val="0"/>
              <w:divBdr>
                <w:top w:val="none" w:sz="0" w:space="0" w:color="auto"/>
                <w:left w:val="none" w:sz="0" w:space="0" w:color="auto"/>
                <w:bottom w:val="none" w:sz="0" w:space="0" w:color="auto"/>
                <w:right w:val="none" w:sz="0" w:space="0" w:color="auto"/>
              </w:divBdr>
            </w:div>
            <w:div w:id="263810092">
              <w:marLeft w:val="0"/>
              <w:marRight w:val="0"/>
              <w:marTop w:val="0"/>
              <w:marBottom w:val="0"/>
              <w:divBdr>
                <w:top w:val="none" w:sz="0" w:space="0" w:color="auto"/>
                <w:left w:val="none" w:sz="0" w:space="0" w:color="auto"/>
                <w:bottom w:val="none" w:sz="0" w:space="0" w:color="auto"/>
                <w:right w:val="none" w:sz="0" w:space="0" w:color="auto"/>
              </w:divBdr>
            </w:div>
            <w:div w:id="648752197">
              <w:marLeft w:val="0"/>
              <w:marRight w:val="0"/>
              <w:marTop w:val="0"/>
              <w:marBottom w:val="0"/>
              <w:divBdr>
                <w:top w:val="none" w:sz="0" w:space="0" w:color="auto"/>
                <w:left w:val="none" w:sz="0" w:space="0" w:color="auto"/>
                <w:bottom w:val="none" w:sz="0" w:space="0" w:color="auto"/>
                <w:right w:val="none" w:sz="0" w:space="0" w:color="auto"/>
              </w:divBdr>
            </w:div>
            <w:div w:id="1065298460">
              <w:marLeft w:val="0"/>
              <w:marRight w:val="0"/>
              <w:marTop w:val="0"/>
              <w:marBottom w:val="0"/>
              <w:divBdr>
                <w:top w:val="none" w:sz="0" w:space="0" w:color="auto"/>
                <w:left w:val="none" w:sz="0" w:space="0" w:color="auto"/>
                <w:bottom w:val="none" w:sz="0" w:space="0" w:color="auto"/>
                <w:right w:val="none" w:sz="0" w:space="0" w:color="auto"/>
              </w:divBdr>
            </w:div>
            <w:div w:id="1600749283">
              <w:marLeft w:val="0"/>
              <w:marRight w:val="0"/>
              <w:marTop w:val="0"/>
              <w:marBottom w:val="0"/>
              <w:divBdr>
                <w:top w:val="none" w:sz="0" w:space="0" w:color="auto"/>
                <w:left w:val="none" w:sz="0" w:space="0" w:color="auto"/>
                <w:bottom w:val="none" w:sz="0" w:space="0" w:color="auto"/>
                <w:right w:val="none" w:sz="0" w:space="0" w:color="auto"/>
              </w:divBdr>
            </w:div>
            <w:div w:id="19845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859098">
      <w:bodyDiv w:val="1"/>
      <w:marLeft w:val="0"/>
      <w:marRight w:val="0"/>
      <w:marTop w:val="0"/>
      <w:marBottom w:val="0"/>
      <w:divBdr>
        <w:top w:val="none" w:sz="0" w:space="0" w:color="auto"/>
        <w:left w:val="none" w:sz="0" w:space="0" w:color="auto"/>
        <w:bottom w:val="none" w:sz="0" w:space="0" w:color="auto"/>
        <w:right w:val="none" w:sz="0" w:space="0" w:color="auto"/>
      </w:divBdr>
    </w:div>
    <w:div w:id="1826239124">
      <w:bodyDiv w:val="1"/>
      <w:marLeft w:val="0"/>
      <w:marRight w:val="0"/>
      <w:marTop w:val="0"/>
      <w:marBottom w:val="0"/>
      <w:divBdr>
        <w:top w:val="none" w:sz="0" w:space="0" w:color="auto"/>
        <w:left w:val="none" w:sz="0" w:space="0" w:color="auto"/>
        <w:bottom w:val="none" w:sz="0" w:space="0" w:color="auto"/>
        <w:right w:val="none" w:sz="0" w:space="0" w:color="auto"/>
      </w:divBdr>
    </w:div>
    <w:div w:id="1837839205">
      <w:bodyDiv w:val="1"/>
      <w:marLeft w:val="0"/>
      <w:marRight w:val="0"/>
      <w:marTop w:val="0"/>
      <w:marBottom w:val="0"/>
      <w:divBdr>
        <w:top w:val="none" w:sz="0" w:space="0" w:color="auto"/>
        <w:left w:val="none" w:sz="0" w:space="0" w:color="auto"/>
        <w:bottom w:val="none" w:sz="0" w:space="0" w:color="auto"/>
        <w:right w:val="none" w:sz="0" w:space="0" w:color="auto"/>
      </w:divBdr>
    </w:div>
    <w:div w:id="1855144045">
      <w:bodyDiv w:val="1"/>
      <w:marLeft w:val="0"/>
      <w:marRight w:val="0"/>
      <w:marTop w:val="0"/>
      <w:marBottom w:val="0"/>
      <w:divBdr>
        <w:top w:val="none" w:sz="0" w:space="0" w:color="auto"/>
        <w:left w:val="none" w:sz="0" w:space="0" w:color="auto"/>
        <w:bottom w:val="none" w:sz="0" w:space="0" w:color="auto"/>
        <w:right w:val="none" w:sz="0" w:space="0" w:color="auto"/>
      </w:divBdr>
    </w:div>
    <w:div w:id="1867063578">
      <w:bodyDiv w:val="1"/>
      <w:marLeft w:val="0"/>
      <w:marRight w:val="0"/>
      <w:marTop w:val="0"/>
      <w:marBottom w:val="0"/>
      <w:divBdr>
        <w:top w:val="none" w:sz="0" w:space="0" w:color="auto"/>
        <w:left w:val="none" w:sz="0" w:space="0" w:color="auto"/>
        <w:bottom w:val="none" w:sz="0" w:space="0" w:color="auto"/>
        <w:right w:val="none" w:sz="0" w:space="0" w:color="auto"/>
      </w:divBdr>
    </w:div>
    <w:div w:id="1880825457">
      <w:bodyDiv w:val="1"/>
      <w:marLeft w:val="0"/>
      <w:marRight w:val="0"/>
      <w:marTop w:val="0"/>
      <w:marBottom w:val="0"/>
      <w:divBdr>
        <w:top w:val="none" w:sz="0" w:space="0" w:color="auto"/>
        <w:left w:val="none" w:sz="0" w:space="0" w:color="auto"/>
        <w:bottom w:val="none" w:sz="0" w:space="0" w:color="auto"/>
        <w:right w:val="none" w:sz="0" w:space="0" w:color="auto"/>
      </w:divBdr>
    </w:div>
    <w:div w:id="1898517051">
      <w:bodyDiv w:val="1"/>
      <w:marLeft w:val="0"/>
      <w:marRight w:val="0"/>
      <w:marTop w:val="0"/>
      <w:marBottom w:val="0"/>
      <w:divBdr>
        <w:top w:val="none" w:sz="0" w:space="0" w:color="auto"/>
        <w:left w:val="none" w:sz="0" w:space="0" w:color="auto"/>
        <w:bottom w:val="none" w:sz="0" w:space="0" w:color="auto"/>
        <w:right w:val="none" w:sz="0" w:space="0" w:color="auto"/>
      </w:divBdr>
    </w:div>
    <w:div w:id="1901285197">
      <w:bodyDiv w:val="1"/>
      <w:marLeft w:val="0"/>
      <w:marRight w:val="0"/>
      <w:marTop w:val="0"/>
      <w:marBottom w:val="0"/>
      <w:divBdr>
        <w:top w:val="none" w:sz="0" w:space="0" w:color="auto"/>
        <w:left w:val="none" w:sz="0" w:space="0" w:color="auto"/>
        <w:bottom w:val="none" w:sz="0" w:space="0" w:color="auto"/>
        <w:right w:val="none" w:sz="0" w:space="0" w:color="auto"/>
      </w:divBdr>
    </w:div>
    <w:div w:id="1914855507">
      <w:bodyDiv w:val="1"/>
      <w:marLeft w:val="0"/>
      <w:marRight w:val="0"/>
      <w:marTop w:val="0"/>
      <w:marBottom w:val="0"/>
      <w:divBdr>
        <w:top w:val="none" w:sz="0" w:space="0" w:color="auto"/>
        <w:left w:val="none" w:sz="0" w:space="0" w:color="auto"/>
        <w:bottom w:val="none" w:sz="0" w:space="0" w:color="auto"/>
        <w:right w:val="none" w:sz="0" w:space="0" w:color="auto"/>
      </w:divBdr>
    </w:div>
    <w:div w:id="1932003148">
      <w:bodyDiv w:val="1"/>
      <w:marLeft w:val="0"/>
      <w:marRight w:val="0"/>
      <w:marTop w:val="0"/>
      <w:marBottom w:val="0"/>
      <w:divBdr>
        <w:top w:val="none" w:sz="0" w:space="0" w:color="auto"/>
        <w:left w:val="none" w:sz="0" w:space="0" w:color="auto"/>
        <w:bottom w:val="none" w:sz="0" w:space="0" w:color="auto"/>
        <w:right w:val="none" w:sz="0" w:space="0" w:color="auto"/>
      </w:divBdr>
    </w:div>
    <w:div w:id="1953051443">
      <w:bodyDiv w:val="1"/>
      <w:marLeft w:val="0"/>
      <w:marRight w:val="0"/>
      <w:marTop w:val="0"/>
      <w:marBottom w:val="0"/>
      <w:divBdr>
        <w:top w:val="none" w:sz="0" w:space="0" w:color="auto"/>
        <w:left w:val="none" w:sz="0" w:space="0" w:color="auto"/>
        <w:bottom w:val="none" w:sz="0" w:space="0" w:color="auto"/>
        <w:right w:val="none" w:sz="0" w:space="0" w:color="auto"/>
      </w:divBdr>
    </w:div>
    <w:div w:id="1960140740">
      <w:bodyDiv w:val="1"/>
      <w:marLeft w:val="0"/>
      <w:marRight w:val="0"/>
      <w:marTop w:val="0"/>
      <w:marBottom w:val="0"/>
      <w:divBdr>
        <w:top w:val="none" w:sz="0" w:space="0" w:color="auto"/>
        <w:left w:val="none" w:sz="0" w:space="0" w:color="auto"/>
        <w:bottom w:val="none" w:sz="0" w:space="0" w:color="auto"/>
        <w:right w:val="none" w:sz="0" w:space="0" w:color="auto"/>
      </w:divBdr>
    </w:div>
    <w:div w:id="1979332697">
      <w:bodyDiv w:val="1"/>
      <w:marLeft w:val="0"/>
      <w:marRight w:val="0"/>
      <w:marTop w:val="0"/>
      <w:marBottom w:val="0"/>
      <w:divBdr>
        <w:top w:val="none" w:sz="0" w:space="0" w:color="auto"/>
        <w:left w:val="none" w:sz="0" w:space="0" w:color="auto"/>
        <w:bottom w:val="none" w:sz="0" w:space="0" w:color="auto"/>
        <w:right w:val="none" w:sz="0" w:space="0" w:color="auto"/>
      </w:divBdr>
    </w:div>
    <w:div w:id="1979801960">
      <w:bodyDiv w:val="1"/>
      <w:marLeft w:val="0"/>
      <w:marRight w:val="0"/>
      <w:marTop w:val="0"/>
      <w:marBottom w:val="0"/>
      <w:divBdr>
        <w:top w:val="none" w:sz="0" w:space="0" w:color="auto"/>
        <w:left w:val="none" w:sz="0" w:space="0" w:color="auto"/>
        <w:bottom w:val="none" w:sz="0" w:space="0" w:color="auto"/>
        <w:right w:val="none" w:sz="0" w:space="0" w:color="auto"/>
      </w:divBdr>
    </w:div>
    <w:div w:id="2016758639">
      <w:bodyDiv w:val="1"/>
      <w:marLeft w:val="0"/>
      <w:marRight w:val="0"/>
      <w:marTop w:val="0"/>
      <w:marBottom w:val="0"/>
      <w:divBdr>
        <w:top w:val="none" w:sz="0" w:space="0" w:color="auto"/>
        <w:left w:val="none" w:sz="0" w:space="0" w:color="auto"/>
        <w:bottom w:val="none" w:sz="0" w:space="0" w:color="auto"/>
        <w:right w:val="none" w:sz="0" w:space="0" w:color="auto"/>
      </w:divBdr>
    </w:div>
    <w:div w:id="2030251695">
      <w:bodyDiv w:val="1"/>
      <w:marLeft w:val="0"/>
      <w:marRight w:val="0"/>
      <w:marTop w:val="0"/>
      <w:marBottom w:val="0"/>
      <w:divBdr>
        <w:top w:val="none" w:sz="0" w:space="0" w:color="auto"/>
        <w:left w:val="none" w:sz="0" w:space="0" w:color="auto"/>
        <w:bottom w:val="none" w:sz="0" w:space="0" w:color="auto"/>
        <w:right w:val="none" w:sz="0" w:space="0" w:color="auto"/>
      </w:divBdr>
      <w:divsChild>
        <w:div w:id="1077895728">
          <w:marLeft w:val="0"/>
          <w:marRight w:val="0"/>
          <w:marTop w:val="0"/>
          <w:marBottom w:val="0"/>
          <w:divBdr>
            <w:top w:val="none" w:sz="0" w:space="0" w:color="auto"/>
            <w:left w:val="none" w:sz="0" w:space="0" w:color="auto"/>
            <w:bottom w:val="none" w:sz="0" w:space="0" w:color="auto"/>
            <w:right w:val="none" w:sz="0" w:space="0" w:color="auto"/>
          </w:divBdr>
          <w:divsChild>
            <w:div w:id="272179111">
              <w:marLeft w:val="0"/>
              <w:marRight w:val="0"/>
              <w:marTop w:val="0"/>
              <w:marBottom w:val="0"/>
              <w:divBdr>
                <w:top w:val="none" w:sz="0" w:space="0" w:color="auto"/>
                <w:left w:val="none" w:sz="0" w:space="0" w:color="auto"/>
                <w:bottom w:val="none" w:sz="0" w:space="0" w:color="auto"/>
                <w:right w:val="none" w:sz="0" w:space="0" w:color="auto"/>
              </w:divBdr>
            </w:div>
            <w:div w:id="465659703">
              <w:marLeft w:val="0"/>
              <w:marRight w:val="0"/>
              <w:marTop w:val="0"/>
              <w:marBottom w:val="0"/>
              <w:divBdr>
                <w:top w:val="none" w:sz="0" w:space="0" w:color="auto"/>
                <w:left w:val="none" w:sz="0" w:space="0" w:color="auto"/>
                <w:bottom w:val="none" w:sz="0" w:space="0" w:color="auto"/>
                <w:right w:val="none" w:sz="0" w:space="0" w:color="auto"/>
              </w:divBdr>
            </w:div>
            <w:div w:id="806095871">
              <w:marLeft w:val="0"/>
              <w:marRight w:val="0"/>
              <w:marTop w:val="0"/>
              <w:marBottom w:val="0"/>
              <w:divBdr>
                <w:top w:val="none" w:sz="0" w:space="0" w:color="auto"/>
                <w:left w:val="none" w:sz="0" w:space="0" w:color="auto"/>
                <w:bottom w:val="none" w:sz="0" w:space="0" w:color="auto"/>
                <w:right w:val="none" w:sz="0" w:space="0" w:color="auto"/>
              </w:divBdr>
            </w:div>
            <w:div w:id="840662164">
              <w:marLeft w:val="0"/>
              <w:marRight w:val="0"/>
              <w:marTop w:val="0"/>
              <w:marBottom w:val="0"/>
              <w:divBdr>
                <w:top w:val="none" w:sz="0" w:space="0" w:color="auto"/>
                <w:left w:val="none" w:sz="0" w:space="0" w:color="auto"/>
                <w:bottom w:val="none" w:sz="0" w:space="0" w:color="auto"/>
                <w:right w:val="none" w:sz="0" w:space="0" w:color="auto"/>
              </w:divBdr>
            </w:div>
            <w:div w:id="1196574626">
              <w:marLeft w:val="0"/>
              <w:marRight w:val="0"/>
              <w:marTop w:val="0"/>
              <w:marBottom w:val="0"/>
              <w:divBdr>
                <w:top w:val="none" w:sz="0" w:space="0" w:color="auto"/>
                <w:left w:val="none" w:sz="0" w:space="0" w:color="auto"/>
                <w:bottom w:val="none" w:sz="0" w:space="0" w:color="auto"/>
                <w:right w:val="none" w:sz="0" w:space="0" w:color="auto"/>
              </w:divBdr>
            </w:div>
            <w:div w:id="1519808161">
              <w:marLeft w:val="0"/>
              <w:marRight w:val="0"/>
              <w:marTop w:val="0"/>
              <w:marBottom w:val="0"/>
              <w:divBdr>
                <w:top w:val="none" w:sz="0" w:space="0" w:color="auto"/>
                <w:left w:val="none" w:sz="0" w:space="0" w:color="auto"/>
                <w:bottom w:val="none" w:sz="0" w:space="0" w:color="auto"/>
                <w:right w:val="none" w:sz="0" w:space="0" w:color="auto"/>
              </w:divBdr>
            </w:div>
            <w:div w:id="18014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5061">
      <w:bodyDiv w:val="1"/>
      <w:marLeft w:val="0"/>
      <w:marRight w:val="0"/>
      <w:marTop w:val="0"/>
      <w:marBottom w:val="0"/>
      <w:divBdr>
        <w:top w:val="none" w:sz="0" w:space="0" w:color="auto"/>
        <w:left w:val="none" w:sz="0" w:space="0" w:color="auto"/>
        <w:bottom w:val="none" w:sz="0" w:space="0" w:color="auto"/>
        <w:right w:val="none" w:sz="0" w:space="0" w:color="auto"/>
      </w:divBdr>
    </w:div>
    <w:div w:id="2052999696">
      <w:bodyDiv w:val="1"/>
      <w:marLeft w:val="0"/>
      <w:marRight w:val="0"/>
      <w:marTop w:val="0"/>
      <w:marBottom w:val="0"/>
      <w:divBdr>
        <w:top w:val="none" w:sz="0" w:space="0" w:color="auto"/>
        <w:left w:val="none" w:sz="0" w:space="0" w:color="auto"/>
        <w:bottom w:val="none" w:sz="0" w:space="0" w:color="auto"/>
        <w:right w:val="none" w:sz="0" w:space="0" w:color="auto"/>
      </w:divBdr>
    </w:div>
    <w:div w:id="2062167634">
      <w:bodyDiv w:val="1"/>
      <w:marLeft w:val="0"/>
      <w:marRight w:val="0"/>
      <w:marTop w:val="0"/>
      <w:marBottom w:val="0"/>
      <w:divBdr>
        <w:top w:val="none" w:sz="0" w:space="0" w:color="auto"/>
        <w:left w:val="none" w:sz="0" w:space="0" w:color="auto"/>
        <w:bottom w:val="none" w:sz="0" w:space="0" w:color="auto"/>
        <w:right w:val="none" w:sz="0" w:space="0" w:color="auto"/>
      </w:divBdr>
      <w:divsChild>
        <w:div w:id="83501785">
          <w:marLeft w:val="0"/>
          <w:marRight w:val="0"/>
          <w:marTop w:val="0"/>
          <w:marBottom w:val="0"/>
          <w:divBdr>
            <w:top w:val="none" w:sz="0" w:space="0" w:color="auto"/>
            <w:left w:val="none" w:sz="0" w:space="0" w:color="auto"/>
            <w:bottom w:val="none" w:sz="0" w:space="0" w:color="auto"/>
            <w:right w:val="none" w:sz="0" w:space="0" w:color="auto"/>
          </w:divBdr>
        </w:div>
      </w:divsChild>
    </w:div>
    <w:div w:id="2072188699">
      <w:bodyDiv w:val="1"/>
      <w:marLeft w:val="0"/>
      <w:marRight w:val="0"/>
      <w:marTop w:val="0"/>
      <w:marBottom w:val="0"/>
      <w:divBdr>
        <w:top w:val="none" w:sz="0" w:space="0" w:color="auto"/>
        <w:left w:val="none" w:sz="0" w:space="0" w:color="auto"/>
        <w:bottom w:val="none" w:sz="0" w:space="0" w:color="auto"/>
        <w:right w:val="none" w:sz="0" w:space="0" w:color="auto"/>
      </w:divBdr>
    </w:div>
    <w:div w:id="2081831349">
      <w:bodyDiv w:val="1"/>
      <w:marLeft w:val="0"/>
      <w:marRight w:val="0"/>
      <w:marTop w:val="0"/>
      <w:marBottom w:val="0"/>
      <w:divBdr>
        <w:top w:val="none" w:sz="0" w:space="0" w:color="auto"/>
        <w:left w:val="none" w:sz="0" w:space="0" w:color="auto"/>
        <w:bottom w:val="none" w:sz="0" w:space="0" w:color="auto"/>
        <w:right w:val="none" w:sz="0" w:space="0" w:color="auto"/>
      </w:divBdr>
    </w:div>
    <w:div w:id="2101295419">
      <w:bodyDiv w:val="1"/>
      <w:marLeft w:val="0"/>
      <w:marRight w:val="0"/>
      <w:marTop w:val="0"/>
      <w:marBottom w:val="0"/>
      <w:divBdr>
        <w:top w:val="none" w:sz="0" w:space="0" w:color="auto"/>
        <w:left w:val="none" w:sz="0" w:space="0" w:color="auto"/>
        <w:bottom w:val="none" w:sz="0" w:space="0" w:color="auto"/>
        <w:right w:val="none" w:sz="0" w:space="0" w:color="auto"/>
      </w:divBdr>
    </w:div>
    <w:div w:id="213859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utumn-statement-2016-documents" TargetMode="External"/><Relationship Id="rId18" Type="http://schemas.openxmlformats.org/officeDocument/2006/relationships/hyperlink" Target="http://www.local.gov.uk/web/guest/media-releases/-/journal_content/56/10180/8057503/NEWS"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local.gov.uk/web/guest/media-releases/-/journal_content/56/10180/8057717/NEWS" TargetMode="External"/><Relationship Id="rId2" Type="http://schemas.openxmlformats.org/officeDocument/2006/relationships/customXml" Target="../customXml/item2.xml"/><Relationship Id="rId16" Type="http://schemas.openxmlformats.org/officeDocument/2006/relationships/hyperlink" Target="http://www.local.gov.uk/web/guest/media-releases/-/journal_content/56/10180/8057403/NEWS" TargetMode="External"/><Relationship Id="rId20" Type="http://schemas.openxmlformats.org/officeDocument/2006/relationships/hyperlink" Target="https://www.gov.uk/government/uploads/system/uploads/attachment_data/file/571567/Transitional_Relief_consultation_respons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local.gov.uk/web/guest/media-releases/-/journal_content/56/10180/8057862/NEW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ocal.gov.uk/web/guest/media-releases/-/journal_content/56/10180/8057618/NEW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web/guest/media-releases/-/journal_content/56/10180/8059398/NEW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png"/><Relationship Id="rId1" Type="http://schemas.openxmlformats.org/officeDocument/2006/relationships/hyperlink" Target="mailto:melanie.haslam@local.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A36BB2C6032C4E8A27BAC93DB49825" ma:contentTypeVersion="0" ma:contentTypeDescription="Create a new document." ma:contentTypeScope="" ma:versionID="30d5fef9ccb6c12d13e85ffaf556bf7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42346-AAF2-4CD1-9BF6-6A58227F4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0DD8417-2B77-47C3-B079-1753E3160593}">
  <ds:schemaRefs>
    <ds:schemaRef ds:uri="http://schemas.microsoft.com/office/2006/documentManagement/types"/>
    <ds:schemaRef ds:uri="http://schemas.microsoft.com/office/infopath/2007/PartnerControls"/>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849AAAD-7AD7-4809-BCDD-9D9E0C65079E}">
  <ds:schemaRefs>
    <ds:schemaRef ds:uri="http://schemas.microsoft.com/sharepoint/v3/contenttype/forms"/>
  </ds:schemaRefs>
</ds:datastoreItem>
</file>

<file path=customXml/itemProps4.xml><?xml version="1.0" encoding="utf-8"?>
<ds:datastoreItem xmlns:ds="http://schemas.openxmlformats.org/officeDocument/2006/customXml" ds:itemID="{9A737BCF-8B82-4087-8083-5882AE760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3</TotalTime>
  <Pages>4</Pages>
  <Words>6855</Words>
  <Characters>39076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Title</vt:lpstr>
    </vt:vector>
  </TitlesOfParts>
  <Company>Asset Graphics</Company>
  <LinksUpToDate>false</LinksUpToDate>
  <CharactersWithSpaces>45840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LGA Briefing</dc:subject>
  <dc:creator>laura.caton</dc:creator>
  <cp:lastModifiedBy>Paul Goodchild</cp:lastModifiedBy>
  <cp:revision>6</cp:revision>
  <cp:lastPrinted>2016-11-23T17:50:00Z</cp:lastPrinted>
  <dcterms:created xsi:type="dcterms:W3CDTF">2016-11-24T14:46:00Z</dcterms:created>
  <dcterms:modified xsi:type="dcterms:W3CDTF">2016-11-24T16:28:00Z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Other</vt:lpwstr>
  </property>
  <property fmtid="{D5CDD505-2E9C-101B-9397-08002B2CF9AE}" pid="14" name="e-GMS.subject.keyword">
    <vt:lpwstr/>
  </property>
  <property fmtid="{D5CDD505-2E9C-101B-9397-08002B2CF9AE}" pid="15" name="ContentTypeId">
    <vt:lpwstr>0x010100E1A36BB2C6032C4E8A27BAC93DB49825</vt:lpwstr>
  </property>
</Properties>
</file>